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D36EAA" w:rsidRPr="00D36EAA" w:rsidRDefault="00881559" w:rsidP="00D36EAA">
      <w:pPr>
        <w:autoSpaceDE w:val="0"/>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w:t>
      </w:r>
      <w:r w:rsidR="00D36EAA">
        <w:rPr>
          <w:rFonts w:ascii="Times New Roman" w:hAnsi="Times New Roman" w:cs="Times New Roman"/>
          <w:b/>
          <w:sz w:val="28"/>
          <w:szCs w:val="28"/>
        </w:rPr>
        <w:t>договора на в</w:t>
      </w:r>
      <w:r w:rsidR="00D36EAA" w:rsidRPr="00D36EAA">
        <w:rPr>
          <w:rFonts w:ascii="Times New Roman" w:hAnsi="Times New Roman" w:cs="Times New Roman"/>
          <w:b/>
          <w:sz w:val="28"/>
          <w:szCs w:val="28"/>
        </w:rPr>
        <w:t>ыполнение работ по техническому обслуживанию  и капитальному ремонту компрессорного оборудования Atlas Copco  для нужд производственной площадки  «ВОЛМА-Воскресенск» в 2020г.</w:t>
      </w:r>
    </w:p>
    <w:p w:rsidR="00037B66" w:rsidRPr="008D1CCC" w:rsidRDefault="00037B66" w:rsidP="00D36EAA">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D36EAA">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D36EAA" w:rsidRDefault="00D36EAA" w:rsidP="00D36EAA">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hAnsi="Times New Roman"/>
                <w:lang w:eastAsia="ru-RU"/>
              </w:rPr>
              <w:t>Суслов Алексей Алекс</w:t>
            </w:r>
            <w:r>
              <w:rPr>
                <w:rFonts w:ascii="Times New Roman" w:hAnsi="Times New Roman"/>
                <w:lang w:eastAsia="ru-RU"/>
              </w:rPr>
              <w:t xml:space="preserve">андрович, главный энергетик </w:t>
            </w:r>
          </w:p>
          <w:p w:rsidR="00D71DE6" w:rsidRPr="00D36EAA" w:rsidRDefault="00D36EAA" w:rsidP="00D36EAA">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eastAsia="Batang" w:hAnsi="Times New Roman"/>
                <w:lang w:eastAsia="ru-RU"/>
              </w:rPr>
              <w:t>тел.</w:t>
            </w:r>
            <w:r w:rsidRPr="00B762DD">
              <w:rPr>
                <w:rFonts w:ascii="Times New Roman" w:hAnsi="Times New Roman"/>
                <w:lang w:eastAsia="ru-RU"/>
              </w:rPr>
              <w:t>: 8-929-977-00-87</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086B39" w:rsidRDefault="00086B39" w:rsidP="00086B39">
            <w:pPr>
              <w:spacing w:after="0"/>
              <w:jc w:val="both"/>
              <w:rPr>
                <w:rFonts w:ascii="Times New Roman" w:hAnsi="Times New Roman" w:cs="Times New Roman"/>
              </w:rPr>
            </w:pPr>
            <w:r w:rsidRPr="00086B39">
              <w:rPr>
                <w:rFonts w:ascii="Times New Roman" w:hAnsi="Times New Roman" w:cs="Times New Roman"/>
                <w:b/>
              </w:rPr>
              <w:t xml:space="preserve">Филиал «ВОЛМА-Воскресенск» </w:t>
            </w:r>
            <w:r w:rsidRPr="00086B39">
              <w:rPr>
                <w:rFonts w:ascii="Times New Roman" w:hAnsi="Times New Roman" w:cs="Times New Roman"/>
                <w:b/>
                <w:bCs/>
              </w:rPr>
              <w:t xml:space="preserve"> </w:t>
            </w:r>
            <w:r w:rsidRPr="00086B39">
              <w:rPr>
                <w:rFonts w:ascii="Times New Roman" w:hAnsi="Times New Roman" w:cs="Times New Roman"/>
                <w:bCs/>
              </w:rPr>
              <w:t>г. Воскресенск, ул. Кирова, д 3 стр. 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D36EAA" w:rsidRDefault="00D36EAA" w:rsidP="00086B39">
            <w:pPr>
              <w:autoSpaceDE w:val="0"/>
              <w:jc w:val="both"/>
              <w:rPr>
                <w:rFonts w:ascii="Times New Roman" w:hAnsi="Times New Roman" w:cs="Times New Roman"/>
              </w:rPr>
            </w:pPr>
            <w:r w:rsidRPr="00D36EAA">
              <w:rPr>
                <w:rFonts w:ascii="Times New Roman" w:hAnsi="Times New Roman" w:cs="Times New Roman"/>
              </w:rPr>
              <w:t>Выполнение работ по техническому обслуживанию  и капитальному ремонту компрессорного оборудования Atlas Copco  для нужд производственной площадки  «ВОЛМА-Воскресенск» в 2020г.</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D36EAA" w:rsidRDefault="00AF2DAF" w:rsidP="00CE2B62">
            <w:pPr>
              <w:suppressAutoHyphens/>
              <w:spacing w:after="0"/>
              <w:jc w:val="both"/>
              <w:rPr>
                <w:rFonts w:ascii="Times New Roman" w:eastAsia="Times New Roman" w:hAnsi="Times New Roman" w:cs="Times New Roman"/>
                <w:b/>
              </w:rPr>
            </w:pPr>
            <w:r w:rsidRPr="00D36EAA">
              <w:rPr>
                <w:rFonts w:ascii="Times New Roman" w:eastAsia="Times New Roman" w:hAnsi="Times New Roman" w:cs="Times New Roman"/>
                <w:b/>
              </w:rPr>
              <w:t xml:space="preserve">Место </w:t>
            </w:r>
            <w:r w:rsidR="00804CC7" w:rsidRPr="00D36EAA">
              <w:rPr>
                <w:rFonts w:ascii="Times New Roman" w:eastAsia="Times New Roman" w:hAnsi="Times New Roman" w:cs="Times New Roman"/>
                <w:b/>
              </w:rPr>
              <w:t xml:space="preserve"> проведения работ:</w:t>
            </w:r>
            <w:r w:rsidR="00086B39" w:rsidRPr="00D36EAA">
              <w:rPr>
                <w:rFonts w:ascii="Times New Roman" w:eastAsia="Times New Roman" w:hAnsi="Times New Roman" w:cs="Times New Roman"/>
                <w:b/>
              </w:rPr>
              <w:t xml:space="preserve"> </w:t>
            </w:r>
            <w:r w:rsidR="00086B39" w:rsidRPr="00D36EAA">
              <w:rPr>
                <w:rFonts w:ascii="Times New Roman" w:hAnsi="Times New Roman" w:cs="Times New Roman"/>
                <w:bCs/>
              </w:rPr>
              <w:t>г. Воскресенск, ул. Кирова, д 3 стр. 1</w:t>
            </w:r>
          </w:p>
          <w:p w:rsidR="00D36EAA" w:rsidRPr="00D36EAA" w:rsidRDefault="00D36EAA" w:rsidP="00D36EAA">
            <w:pPr>
              <w:rPr>
                <w:rFonts w:ascii="Times New Roman" w:hAnsi="Times New Roman" w:cs="Times New Roman"/>
                <w:bCs/>
              </w:rPr>
            </w:pPr>
            <w:r w:rsidRPr="00D36EAA">
              <w:rPr>
                <w:rFonts w:ascii="Times New Roman" w:hAnsi="Times New Roman" w:cs="Times New Roman"/>
                <w:b/>
                <w:color w:val="000000"/>
              </w:rPr>
              <w:t>Сроки  выполнения работ и поставки материалов:</w:t>
            </w:r>
          </w:p>
          <w:p w:rsidR="00D36EAA" w:rsidRPr="00D36EAA" w:rsidRDefault="00D36EAA" w:rsidP="00D36EAA">
            <w:pPr>
              <w:numPr>
                <w:ilvl w:val="0"/>
                <w:numId w:val="44"/>
              </w:numPr>
              <w:suppressAutoHyphens/>
              <w:autoSpaceDE w:val="0"/>
              <w:spacing w:after="0"/>
              <w:jc w:val="both"/>
              <w:rPr>
                <w:rFonts w:ascii="Times New Roman" w:hAnsi="Times New Roman" w:cs="Times New Roman"/>
                <w:bCs/>
              </w:rPr>
            </w:pPr>
            <w:r w:rsidRPr="00D36EAA">
              <w:rPr>
                <w:rFonts w:ascii="Times New Roman" w:hAnsi="Times New Roman" w:cs="Times New Roman"/>
                <w:b/>
                <w:bCs/>
                <w:u w:val="single"/>
              </w:rPr>
              <w:t>Лот №1</w:t>
            </w:r>
            <w:r w:rsidRPr="00D36EAA">
              <w:rPr>
                <w:rFonts w:ascii="Times New Roman" w:hAnsi="Times New Roman" w:cs="Times New Roman"/>
                <w:bCs/>
              </w:rPr>
              <w:t xml:space="preserve">- Провести в период </w:t>
            </w:r>
            <w:r w:rsidRPr="00D36EAA">
              <w:rPr>
                <w:rFonts w:ascii="Times New Roman" w:hAnsi="Times New Roman" w:cs="Times New Roman"/>
                <w:bCs/>
                <w:i/>
              </w:rPr>
              <w:t xml:space="preserve">с </w:t>
            </w:r>
            <w:r w:rsidRPr="00D36EAA">
              <w:rPr>
                <w:rFonts w:ascii="Times New Roman" w:hAnsi="Times New Roman" w:cs="Times New Roman"/>
                <w:b/>
                <w:bCs/>
                <w:i/>
              </w:rPr>
              <w:t>24.02.2020</w:t>
            </w:r>
            <w:r w:rsidRPr="00D36EAA">
              <w:rPr>
                <w:rFonts w:ascii="Times New Roman" w:hAnsi="Times New Roman" w:cs="Times New Roman"/>
                <w:bCs/>
                <w:i/>
              </w:rPr>
              <w:t xml:space="preserve">  </w:t>
            </w:r>
            <w:r w:rsidRPr="00D36EAA">
              <w:rPr>
                <w:rFonts w:ascii="Times New Roman" w:hAnsi="Times New Roman" w:cs="Times New Roman"/>
                <w:b/>
                <w:bCs/>
                <w:i/>
              </w:rPr>
              <w:t>по 30.03.2020</w:t>
            </w:r>
            <w:r w:rsidRPr="00D36EAA">
              <w:rPr>
                <w:rFonts w:ascii="Times New Roman" w:hAnsi="Times New Roman" w:cs="Times New Roman"/>
                <w:bCs/>
              </w:rPr>
              <w:t xml:space="preserve"> г по заявке Заказчика;</w:t>
            </w:r>
          </w:p>
          <w:p w:rsidR="00D36EAA" w:rsidRPr="00D36EAA" w:rsidRDefault="00D36EAA" w:rsidP="00D36EAA">
            <w:pPr>
              <w:numPr>
                <w:ilvl w:val="0"/>
                <w:numId w:val="44"/>
              </w:numPr>
              <w:suppressAutoHyphens/>
              <w:autoSpaceDE w:val="0"/>
              <w:spacing w:after="0"/>
              <w:jc w:val="both"/>
              <w:rPr>
                <w:rFonts w:ascii="Times New Roman" w:hAnsi="Times New Roman" w:cs="Times New Roman"/>
                <w:bCs/>
              </w:rPr>
            </w:pPr>
            <w:r w:rsidRPr="00D36EAA">
              <w:rPr>
                <w:rFonts w:ascii="Times New Roman" w:hAnsi="Times New Roman" w:cs="Times New Roman"/>
                <w:b/>
                <w:bCs/>
                <w:u w:val="single"/>
              </w:rPr>
              <w:t>Лот№2-</w:t>
            </w:r>
            <w:r w:rsidRPr="00D36EAA">
              <w:rPr>
                <w:rFonts w:ascii="Times New Roman" w:hAnsi="Times New Roman" w:cs="Times New Roman"/>
                <w:bCs/>
              </w:rPr>
              <w:t xml:space="preserve"> Техническое обслуживание компрессорного оборудования необходимо провести </w:t>
            </w:r>
            <w:r w:rsidRPr="00D36EAA">
              <w:rPr>
                <w:rFonts w:ascii="Times New Roman" w:hAnsi="Times New Roman" w:cs="Times New Roman"/>
                <w:b/>
                <w:bCs/>
              </w:rPr>
              <w:t>в течение 10 (десяти) рабочих дней</w:t>
            </w:r>
            <w:r w:rsidRPr="00D36EAA">
              <w:rPr>
                <w:rFonts w:ascii="Times New Roman" w:hAnsi="Times New Roman" w:cs="Times New Roman"/>
                <w:bCs/>
              </w:rPr>
              <w:t xml:space="preserve"> с момента поступления заявки Заказчика. Ориентировочное время проведения работ: </w:t>
            </w:r>
            <w:r w:rsidRPr="00D36EAA">
              <w:rPr>
                <w:rFonts w:ascii="Times New Roman" w:hAnsi="Times New Roman" w:cs="Times New Roman"/>
                <w:b/>
                <w:bCs/>
              </w:rPr>
              <w:t xml:space="preserve">с 03.02.2020  по 21.02.2020 </w:t>
            </w:r>
            <w:r w:rsidRPr="00D36EAA">
              <w:rPr>
                <w:rFonts w:ascii="Times New Roman" w:hAnsi="Times New Roman" w:cs="Times New Roman"/>
                <w:bCs/>
              </w:rPr>
              <w:t>(рабочие дни с 8:00 до 17:00)</w:t>
            </w:r>
            <w:r w:rsidRPr="00D36EAA">
              <w:rPr>
                <w:rFonts w:ascii="Times New Roman" w:hAnsi="Times New Roman" w:cs="Times New Roman"/>
                <w:b/>
                <w:bCs/>
              </w:rPr>
              <w:t>;</w:t>
            </w:r>
          </w:p>
          <w:p w:rsidR="00D36EAA" w:rsidRPr="00D36EAA" w:rsidRDefault="00D36EAA" w:rsidP="00D36EAA">
            <w:pPr>
              <w:numPr>
                <w:ilvl w:val="0"/>
                <w:numId w:val="44"/>
              </w:numPr>
              <w:suppressAutoHyphens/>
              <w:autoSpaceDE w:val="0"/>
              <w:spacing w:after="0"/>
              <w:jc w:val="both"/>
              <w:rPr>
                <w:rFonts w:ascii="Times New Roman" w:hAnsi="Times New Roman" w:cs="Times New Roman"/>
                <w:b/>
                <w:bCs/>
              </w:rPr>
            </w:pPr>
            <w:r w:rsidRPr="00D36EAA">
              <w:rPr>
                <w:rFonts w:ascii="Times New Roman" w:hAnsi="Times New Roman" w:cs="Times New Roman"/>
                <w:b/>
                <w:bCs/>
                <w:u w:val="single"/>
              </w:rPr>
              <w:t>Лот№3-</w:t>
            </w:r>
            <w:r w:rsidRPr="00D36EAA">
              <w:rPr>
                <w:rFonts w:ascii="Times New Roman" w:hAnsi="Times New Roman" w:cs="Times New Roman"/>
                <w:bCs/>
              </w:rPr>
              <w:t xml:space="preserve"> Доставка материалов для проведения ремонтных работ производится по заявке Заказчика транспортом Поставщика за счет Поставщика на склад Заказчика.</w:t>
            </w:r>
          </w:p>
          <w:p w:rsidR="00A001B4" w:rsidRPr="00951838" w:rsidRDefault="00BB3932" w:rsidP="00CE2B62">
            <w:pPr>
              <w:autoSpaceDE w:val="0"/>
              <w:spacing w:after="0"/>
              <w:jc w:val="both"/>
              <w:rPr>
                <w:rFonts w:ascii="Times New Roman" w:hAnsi="Times New Roman" w:cs="Times New Roman"/>
                <w:bCs/>
              </w:rPr>
            </w:pPr>
            <w:r w:rsidRPr="00D36EAA">
              <w:rPr>
                <w:rFonts w:ascii="Times New Roman" w:hAnsi="Times New Roman" w:cs="Times New Roman"/>
                <w:b/>
              </w:rPr>
              <w:t>Условия</w:t>
            </w:r>
            <w:r w:rsidR="00A80D9B" w:rsidRPr="00D36EAA">
              <w:rPr>
                <w:rFonts w:ascii="Times New Roman" w:hAnsi="Times New Roman" w:cs="Times New Roman"/>
                <w:b/>
              </w:rPr>
              <w:t xml:space="preserve"> </w:t>
            </w:r>
            <w:r w:rsidR="00575CFF" w:rsidRPr="00D36EAA">
              <w:rPr>
                <w:rFonts w:ascii="Times New Roman" w:hAnsi="Times New Roman" w:cs="Times New Roman"/>
                <w:b/>
              </w:rPr>
              <w:t>выполнения работ</w:t>
            </w:r>
            <w:r w:rsidRPr="00D36EAA">
              <w:rPr>
                <w:rFonts w:ascii="Times New Roman" w:hAnsi="Times New Roman" w:cs="Times New Roman"/>
                <w:b/>
              </w:rPr>
              <w:t>:</w:t>
            </w:r>
            <w:r w:rsidRPr="00D36EAA">
              <w:rPr>
                <w:rFonts w:ascii="Times New Roman" w:hAnsi="Times New Roman" w:cs="Times New Roman"/>
              </w:rPr>
              <w:t xml:space="preserve"> в соответствии с требованиями технического задания и проекта договора.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 xml:space="preserve">Порядок оплаты предлагается Участниками тендера и является одним из </w:t>
            </w:r>
            <w:r w:rsidRPr="00382A95">
              <w:rPr>
                <w:rFonts w:ascii="Times New Roman" w:eastAsia="Times New Roman" w:hAnsi="Times New Roman" w:cs="Calibri"/>
                <w:lang w:eastAsia="ar-SA"/>
              </w:rPr>
              <w:lastRenderedPageBreak/>
              <w:t>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Default="00937252" w:rsidP="00BD51D8">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AF2DAF" w:rsidRPr="00746B32" w:rsidRDefault="00AF2DAF" w:rsidP="00BD51D8">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746B32" w:rsidRDefault="006D7555" w:rsidP="00AC69C9">
            <w:pPr>
              <w:widowControl w:val="0"/>
              <w:spacing w:after="0"/>
              <w:jc w:val="both"/>
              <w:rPr>
                <w:rFonts w:ascii="Times New Roman" w:eastAsia="Times New Roman" w:hAnsi="Times New Roman" w:cs="Times New Roman"/>
                <w:bCs/>
              </w:rPr>
            </w:pPr>
            <w:r w:rsidRPr="006D7555">
              <w:rPr>
                <w:rFonts w:ascii="Times New Roman" w:eastAsia="Times New Roman" w:hAnsi="Times New Roman" w:cs="Times New Roman"/>
                <w:lang w:eastAsia="ar-SA"/>
              </w:rPr>
              <w:t xml:space="preserve">заявки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13</w:t>
            </w:r>
            <w:r w:rsidRPr="006D7555">
              <w:rPr>
                <w:rFonts w:ascii="Times New Roman" w:eastAsia="Times New Roman" w:hAnsi="Times New Roman" w:cs="Times New Roman"/>
                <w:b/>
                <w:lang w:eastAsia="ar-SA"/>
              </w:rPr>
              <w:t xml:space="preserve">» </w:t>
            </w:r>
            <w:r w:rsidR="00D36EAA">
              <w:rPr>
                <w:rFonts w:ascii="Times New Roman" w:eastAsia="Times New Roman" w:hAnsi="Times New Roman" w:cs="Times New Roman"/>
                <w:b/>
                <w:lang w:eastAsia="ar-SA"/>
              </w:rPr>
              <w:t>января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г.1</w:t>
            </w:r>
            <w:r w:rsidR="00D36EAA">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2</w:t>
            </w:r>
            <w:r w:rsidR="00B41174" w:rsidRPr="00B41174">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 xml:space="preserve">» </w:t>
            </w:r>
            <w:r w:rsidR="00D36EAA">
              <w:rPr>
                <w:rFonts w:ascii="Times New Roman" w:eastAsia="Times New Roman" w:hAnsi="Times New Roman" w:cs="Times New Roman"/>
                <w:b/>
                <w:lang w:eastAsia="ar-SA"/>
              </w:rPr>
              <w:t>января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824F3B">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:00</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2</w:t>
            </w:r>
            <w:r w:rsidR="00B41174" w:rsidRPr="00824F3B">
              <w:rPr>
                <w:rFonts w:ascii="Times New Roman" w:eastAsia="Times New Roman" w:hAnsi="Times New Roman" w:cs="Times New Roman"/>
                <w:b/>
                <w:lang w:eastAsia="ar-SA"/>
              </w:rPr>
              <w:t>7</w:t>
            </w:r>
            <w:r w:rsidRPr="007645BC">
              <w:rPr>
                <w:rFonts w:ascii="Times New Roman" w:eastAsia="Times New Roman" w:hAnsi="Times New Roman" w:cs="Times New Roman"/>
                <w:b/>
                <w:lang w:eastAsia="ar-SA"/>
              </w:rPr>
              <w:t xml:space="preserve">»  </w:t>
            </w:r>
            <w:r w:rsidR="00D36EAA">
              <w:rPr>
                <w:rFonts w:ascii="Times New Roman" w:eastAsia="Times New Roman" w:hAnsi="Times New Roman" w:cs="Times New Roman"/>
                <w:b/>
                <w:lang w:eastAsia="ar-SA"/>
              </w:rPr>
              <w:t>января</w:t>
            </w:r>
            <w:r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7645BC">
              <w:rPr>
                <w:rFonts w:ascii="Times New Roman" w:eastAsia="Times New Roman" w:hAnsi="Times New Roman" w:cs="Times New Roman"/>
                <w:b/>
                <w:lang w:eastAsia="ar-SA"/>
              </w:rPr>
              <w:t xml:space="preserve">г. 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D36EAA">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D36EAA">
              <w:rPr>
                <w:rFonts w:ascii="Times New Roman" w:hAnsi="Times New Roman" w:cs="Times New Roman"/>
                <w:b/>
              </w:rPr>
              <w:t>13</w:t>
            </w:r>
            <w:r w:rsidR="00280E18" w:rsidRPr="00280E18">
              <w:rPr>
                <w:rFonts w:ascii="Times New Roman" w:hAnsi="Times New Roman" w:cs="Times New Roman"/>
                <w:b/>
              </w:rPr>
              <w:t xml:space="preserve">» </w:t>
            </w:r>
            <w:r w:rsidR="00D36EAA">
              <w:rPr>
                <w:rFonts w:ascii="Times New Roman" w:hAnsi="Times New Roman" w:cs="Times New Roman"/>
                <w:b/>
              </w:rPr>
              <w:t>января</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36EAA">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D36EAA">
              <w:rPr>
                <w:rFonts w:ascii="Times New Roman" w:hAnsi="Times New Roman" w:cs="Times New Roman"/>
                <w:b/>
              </w:rPr>
              <w:t>27</w:t>
            </w:r>
            <w:r w:rsidR="00280E18" w:rsidRPr="00280E18">
              <w:rPr>
                <w:rFonts w:ascii="Times New Roman" w:hAnsi="Times New Roman" w:cs="Times New Roman"/>
                <w:b/>
              </w:rPr>
              <w:t>»</w:t>
            </w:r>
            <w:r w:rsidR="00D36EAA">
              <w:rPr>
                <w:rFonts w:ascii="Times New Roman" w:hAnsi="Times New Roman" w:cs="Times New Roman"/>
                <w:b/>
              </w:rPr>
              <w:t xml:space="preserve"> января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36EAA">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заявок и подведение </w:t>
            </w:r>
            <w:r w:rsidRPr="00746B32">
              <w:rPr>
                <w:rFonts w:ascii="Times New Roman" w:hAnsi="Times New Roman" w:cs="Times New Roman"/>
                <w:b/>
              </w:rPr>
              <w:lastRenderedPageBreak/>
              <w:t>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0</w:t>
            </w:r>
            <w:r w:rsidR="00824F3B">
              <w:rPr>
                <w:rFonts w:ascii="Times New Roman" w:eastAsia="Times New Roman" w:hAnsi="Times New Roman" w:cs="Times New Roman"/>
                <w:b/>
                <w:lang w:eastAsia="ar-SA"/>
              </w:rPr>
              <w:t>3</w:t>
            </w:r>
            <w:r w:rsidR="007645BC" w:rsidRPr="007645BC">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 xml:space="preserve"> февраля</w:t>
            </w:r>
            <w:r w:rsidR="007645BC"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11:00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w:t>
            </w:r>
            <w:r w:rsidRPr="00746B32">
              <w:rPr>
                <w:sz w:val="22"/>
                <w:szCs w:val="22"/>
              </w:rPr>
              <w:lastRenderedPageBreak/>
              <w:t xml:space="preserve">адресу: 400019, РФ, г. Волгоград, ул. Крепильная, 128. </w:t>
            </w:r>
          </w:p>
          <w:p w:rsidR="00BD51D8" w:rsidRPr="00746B32" w:rsidRDefault="00BB3932" w:rsidP="00AF2DAF">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275"/>
        <w:gridCol w:w="1418"/>
        <w:gridCol w:w="2722"/>
      </w:tblGrid>
      <w:tr w:rsidR="009C6771" w:rsidRPr="00AA1D47" w:rsidTr="00D36EAA">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78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41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72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36EAA" w:rsidRPr="00AA1D47" w:rsidTr="00D36EAA">
        <w:trPr>
          <w:trHeight w:val="553"/>
        </w:trPr>
        <w:tc>
          <w:tcPr>
            <w:tcW w:w="720"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788" w:type="dxa"/>
            <w:vAlign w:val="center"/>
          </w:tcPr>
          <w:p w:rsidR="00D36EAA" w:rsidRPr="00AA1D47" w:rsidRDefault="00D36EAA" w:rsidP="00A24D47">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 с учетом НДС ( </w:t>
            </w:r>
            <w:r w:rsidRPr="00D36EAA">
              <w:rPr>
                <w:rFonts w:ascii="Times New Roman" w:hAnsi="Times New Roman" w:cs="Times New Roman"/>
                <w:b/>
                <w:i/>
              </w:rPr>
              <w:t>Лот№1</w:t>
            </w:r>
            <w:r>
              <w:rPr>
                <w:rFonts w:ascii="Times New Roman" w:hAnsi="Times New Roman" w:cs="Times New Roman"/>
              </w:rPr>
              <w:t>)</w:t>
            </w:r>
          </w:p>
        </w:tc>
        <w:tc>
          <w:tcPr>
            <w:tcW w:w="1275"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418"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D36EAA" w:rsidRPr="00B41174" w:rsidRDefault="00D36EAA" w:rsidP="00A24D47">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В форме №3 предоставить расшифровку стоимости по каждой позиции ТЗ</w:t>
            </w:r>
          </w:p>
          <w:p w:rsidR="00B95A30" w:rsidRPr="00B95A30" w:rsidRDefault="00B95A30" w:rsidP="00A24D47">
            <w:pPr>
              <w:widowControl w:val="0"/>
              <w:tabs>
                <w:tab w:val="left" w:pos="2232"/>
              </w:tabs>
              <w:autoSpaceDE w:val="0"/>
              <w:autoSpaceDN w:val="0"/>
              <w:adjustRightInd w:val="0"/>
              <w:spacing w:after="0"/>
              <w:jc w:val="center"/>
              <w:rPr>
                <w:rFonts w:ascii="Times New Roman" w:hAnsi="Times New Roman" w:cs="Times New Roman"/>
                <w:b/>
                <w:i/>
              </w:rPr>
            </w:pPr>
            <w:r w:rsidRPr="00B95A30">
              <w:rPr>
                <w:rFonts w:ascii="Times New Roman" w:hAnsi="Times New Roman" w:cs="Times New Roman"/>
                <w:b/>
                <w:i/>
              </w:rPr>
              <w:t>(согласно Лотам)</w:t>
            </w:r>
          </w:p>
        </w:tc>
      </w:tr>
      <w:tr w:rsidR="00D36EAA" w:rsidRPr="00AA1D47" w:rsidTr="00D36EAA">
        <w:trPr>
          <w:trHeight w:val="559"/>
        </w:trPr>
        <w:tc>
          <w:tcPr>
            <w:tcW w:w="720" w:type="dxa"/>
            <w:vMerge/>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3788" w:type="dxa"/>
            <w:vAlign w:val="center"/>
          </w:tcPr>
          <w:p w:rsidR="00D36EAA" w:rsidRDefault="00D36EAA" w:rsidP="00D36EAA">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 с учетом НДС ( </w:t>
            </w:r>
            <w:r w:rsidRPr="00D36EAA">
              <w:rPr>
                <w:rFonts w:ascii="Times New Roman" w:hAnsi="Times New Roman" w:cs="Times New Roman"/>
                <w:b/>
                <w:i/>
              </w:rPr>
              <w:t>Лот№</w:t>
            </w:r>
            <w:r>
              <w:rPr>
                <w:rFonts w:ascii="Times New Roman" w:hAnsi="Times New Roman" w:cs="Times New Roman"/>
                <w:b/>
                <w:i/>
              </w:rPr>
              <w:t>2</w:t>
            </w:r>
            <w:r>
              <w:rPr>
                <w:rFonts w:ascii="Times New Roman" w:hAnsi="Times New Roman" w:cs="Times New Roman"/>
              </w:rPr>
              <w:t>)</w:t>
            </w:r>
          </w:p>
        </w:tc>
        <w:tc>
          <w:tcPr>
            <w:tcW w:w="1275" w:type="dxa"/>
            <w:vMerge/>
            <w:vAlign w:val="center"/>
          </w:tcPr>
          <w:p w:rsidR="00D36EAA" w:rsidRPr="00B135DE" w:rsidRDefault="00D36EAA" w:rsidP="00551F38">
            <w:pPr>
              <w:widowControl w:val="0"/>
              <w:autoSpaceDE w:val="0"/>
              <w:autoSpaceDN w:val="0"/>
              <w:adjustRightInd w:val="0"/>
              <w:spacing w:after="0"/>
              <w:jc w:val="center"/>
              <w:rPr>
                <w:rFonts w:ascii="Times New Roman" w:hAnsi="Times New Roman" w:cs="Times New Roman"/>
              </w:rPr>
            </w:pPr>
          </w:p>
        </w:tc>
        <w:tc>
          <w:tcPr>
            <w:tcW w:w="1418"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D36EAA" w:rsidRDefault="00D36EAA" w:rsidP="00551F38">
            <w:pPr>
              <w:widowControl w:val="0"/>
              <w:autoSpaceDE w:val="0"/>
              <w:autoSpaceDN w:val="0"/>
              <w:adjustRightInd w:val="0"/>
              <w:spacing w:after="0"/>
              <w:jc w:val="center"/>
              <w:rPr>
                <w:rFonts w:ascii="Times New Roman" w:hAnsi="Times New Roman" w:cs="Times New Roman"/>
              </w:rPr>
            </w:pPr>
          </w:p>
        </w:tc>
      </w:tr>
      <w:tr w:rsidR="00D36EAA" w:rsidRPr="00AA1D47" w:rsidTr="00D36EAA">
        <w:trPr>
          <w:trHeight w:val="559"/>
        </w:trPr>
        <w:tc>
          <w:tcPr>
            <w:tcW w:w="720" w:type="dxa"/>
            <w:vMerge/>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3788" w:type="dxa"/>
            <w:vAlign w:val="center"/>
          </w:tcPr>
          <w:p w:rsidR="00D36EAA" w:rsidRDefault="00D36EAA" w:rsidP="00D36EAA">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Pr>
                <w:rFonts w:ascii="Times New Roman" w:hAnsi="Times New Roman" w:cs="Times New Roman"/>
              </w:rPr>
              <w:t xml:space="preserve"> без учета НДС / с учетом НДС ( </w:t>
            </w:r>
            <w:r w:rsidRPr="00D36EAA">
              <w:rPr>
                <w:rFonts w:ascii="Times New Roman" w:hAnsi="Times New Roman" w:cs="Times New Roman"/>
                <w:b/>
                <w:i/>
              </w:rPr>
              <w:t>Лот№</w:t>
            </w:r>
            <w:r>
              <w:rPr>
                <w:rFonts w:ascii="Times New Roman" w:hAnsi="Times New Roman" w:cs="Times New Roman"/>
                <w:b/>
                <w:i/>
              </w:rPr>
              <w:t>3</w:t>
            </w:r>
            <w:r>
              <w:rPr>
                <w:rFonts w:ascii="Times New Roman" w:hAnsi="Times New Roman" w:cs="Times New Roman"/>
              </w:rPr>
              <w:t>)</w:t>
            </w:r>
          </w:p>
        </w:tc>
        <w:tc>
          <w:tcPr>
            <w:tcW w:w="1275" w:type="dxa"/>
            <w:vMerge/>
            <w:vAlign w:val="center"/>
          </w:tcPr>
          <w:p w:rsidR="00D36EAA" w:rsidRPr="00B135DE" w:rsidRDefault="00D36EAA" w:rsidP="00551F38">
            <w:pPr>
              <w:widowControl w:val="0"/>
              <w:autoSpaceDE w:val="0"/>
              <w:autoSpaceDN w:val="0"/>
              <w:adjustRightInd w:val="0"/>
              <w:spacing w:after="0"/>
              <w:jc w:val="center"/>
              <w:rPr>
                <w:rFonts w:ascii="Times New Roman" w:hAnsi="Times New Roman" w:cs="Times New Roman"/>
              </w:rPr>
            </w:pPr>
          </w:p>
        </w:tc>
        <w:tc>
          <w:tcPr>
            <w:tcW w:w="1418"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bookmarkStart w:id="121" w:name="_GoBack"/>
            <w:bookmarkEnd w:id="121"/>
          </w:p>
        </w:tc>
        <w:tc>
          <w:tcPr>
            <w:tcW w:w="2722" w:type="dxa"/>
            <w:vMerge/>
            <w:vAlign w:val="center"/>
          </w:tcPr>
          <w:p w:rsidR="00D36EAA" w:rsidRDefault="00D36EAA" w:rsidP="00551F38">
            <w:pPr>
              <w:widowControl w:val="0"/>
              <w:autoSpaceDE w:val="0"/>
              <w:autoSpaceDN w:val="0"/>
              <w:adjustRightInd w:val="0"/>
              <w:spacing w:after="0"/>
              <w:jc w:val="center"/>
              <w:rPr>
                <w:rFonts w:ascii="Times New Roman" w:hAnsi="Times New Roman" w:cs="Times New Roman"/>
              </w:rPr>
            </w:pPr>
          </w:p>
        </w:tc>
      </w:tr>
      <w:tr w:rsidR="009C6771" w:rsidRPr="00AA1D47" w:rsidTr="00D36EAA">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788"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27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41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D36EAA">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788"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27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418"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ебованиями Технического задания с приложением калькуляции затрат по каждой позици Технического задания</w:t>
      </w:r>
      <w:r w:rsidR="00D36EAA">
        <w:rPr>
          <w:rFonts w:ascii="Times New Roman" w:eastAsiaTheme="minorHAnsi" w:hAnsi="Times New Roman" w:cs="Times New Roman"/>
          <w:b/>
          <w:i/>
          <w:lang w:eastAsia="en-US"/>
        </w:rPr>
        <w:t xml:space="preserve"> согласно Лотам №1,№2,№3</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24F3B">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373385"/>
    <w:multiLevelType w:val="hybridMultilevel"/>
    <w:tmpl w:val="DB168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0DF6"/>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4F3B"/>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1174"/>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A3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36EAA"/>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03EB-2C17-410B-AB43-4AA5199F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6769</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5</cp:revision>
  <cp:lastPrinted>2014-12-22T09:49:00Z</cp:lastPrinted>
  <dcterms:created xsi:type="dcterms:W3CDTF">2020-01-13T08:22:00Z</dcterms:created>
  <dcterms:modified xsi:type="dcterms:W3CDTF">2020-01-13T11:07:00Z</dcterms:modified>
</cp:coreProperties>
</file>