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9394" w14:textId="77777777" w:rsidR="003134B8" w:rsidRDefault="003134B8" w:rsidP="000C2F6E">
      <w:pPr>
        <w:tabs>
          <w:tab w:val="left" w:pos="993"/>
        </w:tabs>
        <w:contextualSpacing/>
        <w:jc w:val="center"/>
        <w:rPr>
          <w:b/>
        </w:rPr>
      </w:pPr>
      <w:bookmarkStart w:id="0" w:name="_Hlk535234728"/>
      <w:r w:rsidRPr="003134B8">
        <w:rPr>
          <w:noProof/>
          <w:sz w:val="26"/>
          <w:szCs w:val="26"/>
          <w:u w:val="single"/>
        </w:rPr>
        <w:drawing>
          <wp:inline distT="0" distB="0" distL="0" distR="0" wp14:anchorId="4E139926" wp14:editId="60E73818">
            <wp:extent cx="6029325" cy="1653540"/>
            <wp:effectExtent l="0" t="0" r="952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1653540"/>
                    </a:xfrm>
                    <a:prstGeom prst="rect">
                      <a:avLst/>
                    </a:prstGeom>
                    <a:noFill/>
                  </pic:spPr>
                </pic:pic>
              </a:graphicData>
            </a:graphic>
          </wp:inline>
        </w:drawing>
      </w:r>
    </w:p>
    <w:p w14:paraId="2DBF8137" w14:textId="77777777" w:rsidR="003134B8" w:rsidRDefault="003134B8" w:rsidP="000C2F6E">
      <w:pPr>
        <w:tabs>
          <w:tab w:val="left" w:pos="993"/>
        </w:tabs>
        <w:contextualSpacing/>
        <w:jc w:val="center"/>
        <w:rPr>
          <w:b/>
        </w:rPr>
      </w:pPr>
    </w:p>
    <w:p w14:paraId="2FEEDF68" w14:textId="226F954D" w:rsidR="00656E4C" w:rsidRPr="005D549B" w:rsidRDefault="00A80E68" w:rsidP="000C2F6E">
      <w:pPr>
        <w:tabs>
          <w:tab w:val="left" w:pos="993"/>
        </w:tabs>
        <w:contextualSpacing/>
        <w:jc w:val="center"/>
        <w:rPr>
          <w:b/>
        </w:rPr>
      </w:pPr>
      <w:r w:rsidRPr="005D549B">
        <w:rPr>
          <w:b/>
        </w:rPr>
        <w:t xml:space="preserve">ТЕХНИЧЕСКОЕ ЗАДАНИЕ </w:t>
      </w:r>
    </w:p>
    <w:p w14:paraId="5AF758AD" w14:textId="38AEAE0E" w:rsidR="001724D1" w:rsidRPr="005D549B" w:rsidRDefault="002869CF" w:rsidP="000975D4">
      <w:pPr>
        <w:tabs>
          <w:tab w:val="left" w:pos="993"/>
        </w:tabs>
        <w:contextualSpacing/>
        <w:jc w:val="center"/>
        <w:rPr>
          <w:b/>
        </w:rPr>
      </w:pPr>
      <w:r w:rsidRPr="005D549B">
        <w:rPr>
          <w:b/>
        </w:rPr>
        <w:t xml:space="preserve">На </w:t>
      </w:r>
      <w:r w:rsidR="001724D1" w:rsidRPr="005D549B">
        <w:rPr>
          <w:b/>
        </w:rPr>
        <w:t xml:space="preserve"> </w:t>
      </w:r>
      <w:r w:rsidR="00270ADE" w:rsidRPr="005D549B">
        <w:rPr>
          <w:b/>
        </w:rPr>
        <w:t>проведение тендера</w:t>
      </w:r>
      <w:r w:rsidRPr="005D549B">
        <w:rPr>
          <w:b/>
        </w:rPr>
        <w:t xml:space="preserve"> </w:t>
      </w:r>
      <w:r w:rsidR="000C2F6E" w:rsidRPr="005D549B">
        <w:rPr>
          <w:b/>
        </w:rPr>
        <w:t xml:space="preserve"> </w:t>
      </w:r>
      <w:r w:rsidRPr="005D549B">
        <w:rPr>
          <w:b/>
        </w:rPr>
        <w:t>по</w:t>
      </w:r>
      <w:r w:rsidR="00270ADE" w:rsidRPr="005D549B">
        <w:rPr>
          <w:b/>
        </w:rPr>
        <w:t xml:space="preserve"> определению подрядной организации для выполнения работ по </w:t>
      </w:r>
      <w:r w:rsidR="00E808A3" w:rsidRPr="005D549B">
        <w:rPr>
          <w:b/>
        </w:rPr>
        <w:t>устройству объездной внутризаводской дороги</w:t>
      </w:r>
      <w:r w:rsidR="00270ADE" w:rsidRPr="005D549B">
        <w:rPr>
          <w:b/>
        </w:rPr>
        <w:t xml:space="preserve"> </w:t>
      </w:r>
      <w:r w:rsidR="00E808A3" w:rsidRPr="005D549B">
        <w:rPr>
          <w:b/>
        </w:rPr>
        <w:t xml:space="preserve">вдоль ООО «Фрегат» и площадки хранения готовой продукции на заводе сухих строительных материалов </w:t>
      </w:r>
      <w:r w:rsidR="00270ADE" w:rsidRPr="005D549B">
        <w:rPr>
          <w:b/>
        </w:rPr>
        <w:t>ООО «ВОЛМА-Воскресенск»</w:t>
      </w:r>
      <w:r w:rsidR="000975D4" w:rsidRPr="005D549B">
        <w:rPr>
          <w:b/>
        </w:rPr>
        <w:t>, расположенного по адресу: Московская область, г. Воскресенск, ул. Кирова, д.3</w:t>
      </w:r>
    </w:p>
    <w:p w14:paraId="6AB60D22" w14:textId="6522B634" w:rsidR="001724D1" w:rsidRPr="005D549B" w:rsidRDefault="001724D1" w:rsidP="000C2F6E">
      <w:pPr>
        <w:tabs>
          <w:tab w:val="left" w:pos="993"/>
        </w:tabs>
        <w:contextualSpacing/>
        <w:jc w:val="center"/>
        <w:rPr>
          <w:b/>
        </w:rPr>
      </w:pPr>
    </w:p>
    <w:tbl>
      <w:tblPr>
        <w:tblStyle w:val="afd"/>
        <w:tblW w:w="10428" w:type="dxa"/>
        <w:tblInd w:w="-572" w:type="dxa"/>
        <w:tblLook w:val="04A0" w:firstRow="1" w:lastRow="0" w:firstColumn="1" w:lastColumn="0" w:noHBand="0" w:noVBand="1"/>
      </w:tblPr>
      <w:tblGrid>
        <w:gridCol w:w="801"/>
        <w:gridCol w:w="3022"/>
        <w:gridCol w:w="6605"/>
      </w:tblGrid>
      <w:tr w:rsidR="001724D1" w:rsidRPr="005D549B" w14:paraId="713A2CDD" w14:textId="77777777" w:rsidTr="00585F62">
        <w:tc>
          <w:tcPr>
            <w:tcW w:w="801" w:type="dxa"/>
          </w:tcPr>
          <w:p w14:paraId="5D2FB8D7" w14:textId="5D5ECD68" w:rsidR="001724D1" w:rsidRPr="005D549B" w:rsidRDefault="001724D1" w:rsidP="000C2F6E">
            <w:pPr>
              <w:tabs>
                <w:tab w:val="left" w:pos="993"/>
              </w:tabs>
              <w:contextualSpacing/>
              <w:jc w:val="center"/>
              <w:rPr>
                <w:b/>
              </w:rPr>
            </w:pPr>
            <w:r w:rsidRPr="005D549B">
              <w:rPr>
                <w:b/>
              </w:rPr>
              <w:t>№п/п</w:t>
            </w:r>
          </w:p>
        </w:tc>
        <w:tc>
          <w:tcPr>
            <w:tcW w:w="3022" w:type="dxa"/>
          </w:tcPr>
          <w:p w14:paraId="0AD2E946" w14:textId="385A9525" w:rsidR="001724D1" w:rsidRPr="005D549B" w:rsidRDefault="001724D1" w:rsidP="000C2F6E">
            <w:pPr>
              <w:tabs>
                <w:tab w:val="left" w:pos="993"/>
              </w:tabs>
              <w:contextualSpacing/>
              <w:jc w:val="center"/>
              <w:rPr>
                <w:b/>
              </w:rPr>
            </w:pPr>
            <w:r w:rsidRPr="005D549B">
              <w:rPr>
                <w:b/>
              </w:rPr>
              <w:t>Наименование данных</w:t>
            </w:r>
          </w:p>
        </w:tc>
        <w:tc>
          <w:tcPr>
            <w:tcW w:w="6605" w:type="dxa"/>
          </w:tcPr>
          <w:p w14:paraId="584BDBC0" w14:textId="74AD0B99" w:rsidR="001724D1" w:rsidRPr="005D549B" w:rsidRDefault="001724D1" w:rsidP="00B80010">
            <w:pPr>
              <w:tabs>
                <w:tab w:val="left" w:pos="993"/>
              </w:tabs>
              <w:contextualSpacing/>
              <w:jc w:val="center"/>
              <w:rPr>
                <w:b/>
              </w:rPr>
            </w:pPr>
            <w:r w:rsidRPr="005D549B">
              <w:rPr>
                <w:b/>
              </w:rPr>
              <w:t>Содержание данных</w:t>
            </w:r>
          </w:p>
        </w:tc>
      </w:tr>
      <w:tr w:rsidR="001724D1" w:rsidRPr="005D549B" w14:paraId="15C62988" w14:textId="77777777" w:rsidTr="00487FF9">
        <w:trPr>
          <w:trHeight w:val="204"/>
        </w:trPr>
        <w:tc>
          <w:tcPr>
            <w:tcW w:w="801" w:type="dxa"/>
          </w:tcPr>
          <w:p w14:paraId="5FD80B80" w14:textId="19BAE3F2" w:rsidR="001724D1" w:rsidRPr="005D549B" w:rsidRDefault="00226E60" w:rsidP="000C2F6E">
            <w:pPr>
              <w:tabs>
                <w:tab w:val="left" w:pos="993"/>
              </w:tabs>
              <w:contextualSpacing/>
              <w:jc w:val="center"/>
              <w:rPr>
                <w:b/>
              </w:rPr>
            </w:pPr>
            <w:r w:rsidRPr="005D549B">
              <w:rPr>
                <w:b/>
              </w:rPr>
              <w:t>1</w:t>
            </w:r>
          </w:p>
        </w:tc>
        <w:tc>
          <w:tcPr>
            <w:tcW w:w="3022" w:type="dxa"/>
          </w:tcPr>
          <w:p w14:paraId="7E3E1905" w14:textId="414756BC" w:rsidR="001724D1" w:rsidRPr="005D549B" w:rsidRDefault="001724D1" w:rsidP="002D3A22">
            <w:pPr>
              <w:tabs>
                <w:tab w:val="left" w:pos="993"/>
              </w:tabs>
              <w:contextualSpacing/>
              <w:jc w:val="both"/>
              <w:rPr>
                <w:b/>
              </w:rPr>
            </w:pPr>
            <w:r w:rsidRPr="005D549B">
              <w:rPr>
                <w:b/>
              </w:rPr>
              <w:t>Заказчик</w:t>
            </w:r>
          </w:p>
        </w:tc>
        <w:tc>
          <w:tcPr>
            <w:tcW w:w="6605" w:type="dxa"/>
          </w:tcPr>
          <w:p w14:paraId="2F52C7C2" w14:textId="561137AA" w:rsidR="001724D1" w:rsidRPr="005D549B" w:rsidRDefault="001724D1" w:rsidP="002D3A22">
            <w:pPr>
              <w:tabs>
                <w:tab w:val="left" w:pos="993"/>
              </w:tabs>
              <w:contextualSpacing/>
              <w:jc w:val="both"/>
            </w:pPr>
            <w:r w:rsidRPr="005D549B">
              <w:t>ООО «ВОЛМА-</w:t>
            </w:r>
            <w:r w:rsidR="000975D4" w:rsidRPr="005D549B">
              <w:t>Воскресенск</w:t>
            </w:r>
            <w:r w:rsidRPr="005D549B">
              <w:t>»</w:t>
            </w:r>
          </w:p>
        </w:tc>
      </w:tr>
      <w:tr w:rsidR="001724D1" w:rsidRPr="005D549B" w14:paraId="0E7122CE" w14:textId="77777777" w:rsidTr="00585F62">
        <w:tc>
          <w:tcPr>
            <w:tcW w:w="801" w:type="dxa"/>
          </w:tcPr>
          <w:p w14:paraId="6E3407E4" w14:textId="31C77E93" w:rsidR="001724D1" w:rsidRPr="005D549B" w:rsidRDefault="00226E60" w:rsidP="000C2F6E">
            <w:pPr>
              <w:tabs>
                <w:tab w:val="left" w:pos="993"/>
              </w:tabs>
              <w:contextualSpacing/>
              <w:jc w:val="center"/>
              <w:rPr>
                <w:b/>
              </w:rPr>
            </w:pPr>
            <w:r w:rsidRPr="005D549B">
              <w:rPr>
                <w:b/>
              </w:rPr>
              <w:t>2</w:t>
            </w:r>
          </w:p>
        </w:tc>
        <w:tc>
          <w:tcPr>
            <w:tcW w:w="3022" w:type="dxa"/>
          </w:tcPr>
          <w:p w14:paraId="5D1FAC97" w14:textId="274838D4" w:rsidR="001724D1" w:rsidRPr="005D549B" w:rsidRDefault="001724D1" w:rsidP="002D3A22">
            <w:pPr>
              <w:tabs>
                <w:tab w:val="left" w:pos="993"/>
              </w:tabs>
              <w:contextualSpacing/>
              <w:jc w:val="both"/>
              <w:rPr>
                <w:b/>
              </w:rPr>
            </w:pPr>
            <w:r w:rsidRPr="005D549B">
              <w:rPr>
                <w:b/>
              </w:rPr>
              <w:t>Вид работ</w:t>
            </w:r>
          </w:p>
        </w:tc>
        <w:tc>
          <w:tcPr>
            <w:tcW w:w="6605" w:type="dxa"/>
          </w:tcPr>
          <w:p w14:paraId="232CF2F3" w14:textId="24FD7471" w:rsidR="001724D1" w:rsidRPr="005D549B" w:rsidRDefault="00E808A3" w:rsidP="00270ADE">
            <w:pPr>
              <w:tabs>
                <w:tab w:val="left" w:pos="993"/>
              </w:tabs>
              <w:contextualSpacing/>
              <w:jc w:val="both"/>
            </w:pPr>
            <w:r w:rsidRPr="005D549B">
              <w:t>Устройство объездной внутризаводской дороги вдоль ООО «Фрегат» и площадки хранения готовой продукции</w:t>
            </w:r>
          </w:p>
        </w:tc>
      </w:tr>
      <w:tr w:rsidR="001724D1" w:rsidRPr="005D549B" w14:paraId="2E29FE79" w14:textId="77777777" w:rsidTr="00585F62">
        <w:tc>
          <w:tcPr>
            <w:tcW w:w="801" w:type="dxa"/>
          </w:tcPr>
          <w:p w14:paraId="2550FA1A" w14:textId="4D4FA811" w:rsidR="001724D1" w:rsidRPr="005D549B" w:rsidRDefault="00226E60" w:rsidP="000C2F6E">
            <w:pPr>
              <w:tabs>
                <w:tab w:val="left" w:pos="993"/>
              </w:tabs>
              <w:contextualSpacing/>
              <w:jc w:val="center"/>
              <w:rPr>
                <w:b/>
              </w:rPr>
            </w:pPr>
            <w:r w:rsidRPr="005D549B">
              <w:rPr>
                <w:b/>
              </w:rPr>
              <w:t>3</w:t>
            </w:r>
          </w:p>
        </w:tc>
        <w:tc>
          <w:tcPr>
            <w:tcW w:w="3022" w:type="dxa"/>
          </w:tcPr>
          <w:p w14:paraId="2E9772F1" w14:textId="6183503C" w:rsidR="001724D1" w:rsidRPr="005D549B" w:rsidRDefault="001724D1" w:rsidP="002D3A22">
            <w:pPr>
              <w:tabs>
                <w:tab w:val="left" w:pos="993"/>
              </w:tabs>
              <w:contextualSpacing/>
              <w:jc w:val="both"/>
              <w:rPr>
                <w:b/>
              </w:rPr>
            </w:pPr>
            <w:r w:rsidRPr="005D549B">
              <w:rPr>
                <w:b/>
              </w:rPr>
              <w:t>Место расположение объекта</w:t>
            </w:r>
          </w:p>
        </w:tc>
        <w:tc>
          <w:tcPr>
            <w:tcW w:w="6605" w:type="dxa"/>
          </w:tcPr>
          <w:p w14:paraId="03214393" w14:textId="0CB30B92" w:rsidR="001724D1" w:rsidRPr="005D549B" w:rsidRDefault="00182083" w:rsidP="002D3A22">
            <w:pPr>
              <w:tabs>
                <w:tab w:val="left" w:pos="993"/>
              </w:tabs>
              <w:contextualSpacing/>
              <w:jc w:val="both"/>
            </w:pPr>
            <w:r w:rsidRPr="005D549B">
              <w:t xml:space="preserve"> </w:t>
            </w:r>
            <w:r w:rsidR="000975D4" w:rsidRPr="005D549B">
              <w:t>ООО «ВОЛМА-Воскресенск», расположенного по адресу: Московская область, г. Воскресенск, ул. Кирова, д.3</w:t>
            </w:r>
          </w:p>
        </w:tc>
      </w:tr>
      <w:tr w:rsidR="001724D1" w:rsidRPr="005D549B" w14:paraId="0C358642" w14:textId="77777777" w:rsidTr="00585F62">
        <w:tc>
          <w:tcPr>
            <w:tcW w:w="801" w:type="dxa"/>
          </w:tcPr>
          <w:p w14:paraId="1C1437E9" w14:textId="03EF65C7" w:rsidR="001724D1" w:rsidRPr="005D549B" w:rsidRDefault="00226E60" w:rsidP="000C2F6E">
            <w:pPr>
              <w:tabs>
                <w:tab w:val="left" w:pos="993"/>
              </w:tabs>
              <w:contextualSpacing/>
              <w:jc w:val="center"/>
              <w:rPr>
                <w:b/>
              </w:rPr>
            </w:pPr>
            <w:r w:rsidRPr="005D549B">
              <w:rPr>
                <w:b/>
              </w:rPr>
              <w:t>4</w:t>
            </w:r>
          </w:p>
        </w:tc>
        <w:tc>
          <w:tcPr>
            <w:tcW w:w="3022" w:type="dxa"/>
          </w:tcPr>
          <w:p w14:paraId="4EB1A8DB" w14:textId="557B624C" w:rsidR="001724D1" w:rsidRPr="005D549B" w:rsidRDefault="001724D1" w:rsidP="002D3A22">
            <w:pPr>
              <w:tabs>
                <w:tab w:val="left" w:pos="993"/>
              </w:tabs>
              <w:contextualSpacing/>
              <w:jc w:val="both"/>
              <w:rPr>
                <w:b/>
              </w:rPr>
            </w:pPr>
            <w:r w:rsidRPr="005D549B">
              <w:rPr>
                <w:b/>
              </w:rPr>
              <w:t>Основание</w:t>
            </w:r>
          </w:p>
        </w:tc>
        <w:tc>
          <w:tcPr>
            <w:tcW w:w="6605" w:type="dxa"/>
          </w:tcPr>
          <w:p w14:paraId="10A7B0C7" w14:textId="63D83E80" w:rsidR="001724D1" w:rsidRPr="005D549B" w:rsidRDefault="00E808A3" w:rsidP="002D3A22">
            <w:pPr>
              <w:tabs>
                <w:tab w:val="left" w:pos="993"/>
              </w:tabs>
              <w:contextualSpacing/>
              <w:jc w:val="both"/>
            </w:pPr>
            <w:r w:rsidRPr="005D549B">
              <w:t>Ведомость объемов работ №ДВ-ВСК 144-04-2022</w:t>
            </w:r>
            <w:r w:rsidR="009C759C" w:rsidRPr="005D549B">
              <w:t xml:space="preserve"> </w:t>
            </w:r>
            <w:r w:rsidR="00A31E8B" w:rsidRPr="005D549B">
              <w:t>(</w:t>
            </w:r>
            <w:r w:rsidR="009C759C" w:rsidRPr="005D549B">
              <w:t>Приложение 1</w:t>
            </w:r>
            <w:r w:rsidR="00A31E8B" w:rsidRPr="005D549B">
              <w:t>)</w:t>
            </w:r>
            <w:r w:rsidR="009C759C" w:rsidRPr="005D549B">
              <w:t xml:space="preserve">, </w:t>
            </w:r>
            <w:r w:rsidR="002F6EA0" w:rsidRPr="005D549B">
              <w:t xml:space="preserve">Схема дорожной одежды и откоса </w:t>
            </w:r>
            <w:r w:rsidR="00A31E8B" w:rsidRPr="005D549B">
              <w:t>(</w:t>
            </w:r>
            <w:r w:rsidR="009C759C" w:rsidRPr="005D549B">
              <w:t>Приложение 2</w:t>
            </w:r>
            <w:r w:rsidR="00A31E8B" w:rsidRPr="005D549B">
              <w:t>)</w:t>
            </w:r>
          </w:p>
        </w:tc>
      </w:tr>
      <w:tr w:rsidR="002D3A22" w:rsidRPr="005D549B" w14:paraId="24600A3E" w14:textId="77777777" w:rsidTr="00585F62">
        <w:tc>
          <w:tcPr>
            <w:tcW w:w="801" w:type="dxa"/>
          </w:tcPr>
          <w:p w14:paraId="196A2389" w14:textId="12202F5B" w:rsidR="002D3A22" w:rsidRPr="005D549B" w:rsidRDefault="00226E60" w:rsidP="000C2F6E">
            <w:pPr>
              <w:tabs>
                <w:tab w:val="left" w:pos="993"/>
              </w:tabs>
              <w:contextualSpacing/>
              <w:jc w:val="center"/>
              <w:rPr>
                <w:b/>
              </w:rPr>
            </w:pPr>
            <w:r w:rsidRPr="005D549B">
              <w:rPr>
                <w:b/>
              </w:rPr>
              <w:t>5</w:t>
            </w:r>
          </w:p>
        </w:tc>
        <w:tc>
          <w:tcPr>
            <w:tcW w:w="3022" w:type="dxa"/>
          </w:tcPr>
          <w:p w14:paraId="17E20A4D" w14:textId="1552788B" w:rsidR="002D3A22" w:rsidRPr="005D549B" w:rsidRDefault="002D3A22" w:rsidP="002D3A22">
            <w:pPr>
              <w:tabs>
                <w:tab w:val="left" w:pos="993"/>
              </w:tabs>
              <w:contextualSpacing/>
              <w:jc w:val="both"/>
              <w:rPr>
                <w:b/>
              </w:rPr>
            </w:pPr>
            <w:r w:rsidRPr="005D549B">
              <w:rPr>
                <w:b/>
              </w:rPr>
              <w:t>Сроки исполнения</w:t>
            </w:r>
          </w:p>
        </w:tc>
        <w:tc>
          <w:tcPr>
            <w:tcW w:w="6605" w:type="dxa"/>
          </w:tcPr>
          <w:p w14:paraId="55B1E30B" w14:textId="045DD821" w:rsidR="002D3A22" w:rsidRPr="005D549B" w:rsidRDefault="00E808A3" w:rsidP="002D3A22">
            <w:pPr>
              <w:tabs>
                <w:tab w:val="left" w:pos="993"/>
              </w:tabs>
              <w:contextualSpacing/>
              <w:jc w:val="both"/>
            </w:pPr>
            <w:r w:rsidRPr="005D549B">
              <w:t>Июнь- август</w:t>
            </w:r>
            <w:r w:rsidR="003506DD" w:rsidRPr="005D549B">
              <w:t xml:space="preserve"> 202</w:t>
            </w:r>
            <w:r w:rsidRPr="005D549B">
              <w:t>2</w:t>
            </w:r>
            <w:r w:rsidR="00A31E8B" w:rsidRPr="005D549B">
              <w:t xml:space="preserve"> </w:t>
            </w:r>
            <w:r w:rsidR="000975D4" w:rsidRPr="005D549B">
              <w:t>год</w:t>
            </w:r>
            <w:r w:rsidR="003506DD" w:rsidRPr="005D549B">
              <w:t>а</w:t>
            </w:r>
          </w:p>
        </w:tc>
      </w:tr>
      <w:tr w:rsidR="00542F11" w:rsidRPr="005D549B" w14:paraId="6186309D" w14:textId="77777777" w:rsidTr="00585F62">
        <w:tc>
          <w:tcPr>
            <w:tcW w:w="801" w:type="dxa"/>
          </w:tcPr>
          <w:p w14:paraId="7126818B" w14:textId="7403E614" w:rsidR="00542F11" w:rsidRPr="005D549B" w:rsidRDefault="00542F11" w:rsidP="000C2F6E">
            <w:pPr>
              <w:tabs>
                <w:tab w:val="left" w:pos="993"/>
              </w:tabs>
              <w:contextualSpacing/>
              <w:jc w:val="center"/>
              <w:rPr>
                <w:b/>
              </w:rPr>
            </w:pPr>
            <w:r w:rsidRPr="005D549B">
              <w:rPr>
                <w:b/>
              </w:rPr>
              <w:t>6</w:t>
            </w:r>
          </w:p>
        </w:tc>
        <w:tc>
          <w:tcPr>
            <w:tcW w:w="3022" w:type="dxa"/>
          </w:tcPr>
          <w:p w14:paraId="6D44B7B1" w14:textId="4121FA70" w:rsidR="00542F11" w:rsidRPr="005D549B" w:rsidRDefault="00542F11" w:rsidP="002D3A22">
            <w:pPr>
              <w:tabs>
                <w:tab w:val="left" w:pos="993"/>
              </w:tabs>
              <w:contextualSpacing/>
              <w:jc w:val="both"/>
              <w:rPr>
                <w:b/>
              </w:rPr>
            </w:pPr>
            <w:r w:rsidRPr="005D549B">
              <w:rPr>
                <w:b/>
              </w:rPr>
              <w:t xml:space="preserve">Сроки </w:t>
            </w:r>
            <w:r w:rsidR="00E92C89" w:rsidRPr="005D549B">
              <w:rPr>
                <w:b/>
              </w:rPr>
              <w:t>проведения тендера</w:t>
            </w:r>
          </w:p>
        </w:tc>
        <w:tc>
          <w:tcPr>
            <w:tcW w:w="6605" w:type="dxa"/>
          </w:tcPr>
          <w:p w14:paraId="0047E76F" w14:textId="378D786C" w:rsidR="00542F11" w:rsidRPr="005D549B" w:rsidRDefault="00E92C89" w:rsidP="002D3A22">
            <w:pPr>
              <w:tabs>
                <w:tab w:val="left" w:pos="993"/>
              </w:tabs>
              <w:contextualSpacing/>
              <w:jc w:val="both"/>
            </w:pPr>
            <w:r w:rsidRPr="005D549B">
              <w:t>д</w:t>
            </w:r>
            <w:r w:rsidR="00542F11" w:rsidRPr="005D549B">
              <w:t xml:space="preserve">о </w:t>
            </w:r>
            <w:r w:rsidR="009C759C" w:rsidRPr="005D549B">
              <w:t>29.04.2022</w:t>
            </w:r>
          </w:p>
        </w:tc>
      </w:tr>
      <w:tr w:rsidR="001724D1" w:rsidRPr="005D549B" w14:paraId="2AB2DE08" w14:textId="77777777" w:rsidTr="00585F62">
        <w:tc>
          <w:tcPr>
            <w:tcW w:w="801" w:type="dxa"/>
          </w:tcPr>
          <w:p w14:paraId="75423EF1" w14:textId="5F27E30D" w:rsidR="001724D1" w:rsidRPr="005D549B" w:rsidRDefault="00542F11" w:rsidP="000C2F6E">
            <w:pPr>
              <w:tabs>
                <w:tab w:val="left" w:pos="993"/>
              </w:tabs>
              <w:contextualSpacing/>
              <w:jc w:val="center"/>
              <w:rPr>
                <w:b/>
              </w:rPr>
            </w:pPr>
            <w:r w:rsidRPr="005D549B">
              <w:rPr>
                <w:b/>
              </w:rPr>
              <w:t>7</w:t>
            </w:r>
          </w:p>
        </w:tc>
        <w:tc>
          <w:tcPr>
            <w:tcW w:w="3022" w:type="dxa"/>
          </w:tcPr>
          <w:p w14:paraId="0975A28F" w14:textId="36A0CC5C" w:rsidR="001724D1" w:rsidRPr="005D549B" w:rsidRDefault="001724D1" w:rsidP="002D3A22">
            <w:pPr>
              <w:tabs>
                <w:tab w:val="left" w:pos="993"/>
              </w:tabs>
              <w:contextualSpacing/>
              <w:jc w:val="both"/>
              <w:rPr>
                <w:b/>
              </w:rPr>
            </w:pPr>
            <w:r w:rsidRPr="005D549B">
              <w:rPr>
                <w:b/>
              </w:rPr>
              <w:t>Порядок оплаты</w:t>
            </w:r>
          </w:p>
        </w:tc>
        <w:tc>
          <w:tcPr>
            <w:tcW w:w="6605" w:type="dxa"/>
          </w:tcPr>
          <w:p w14:paraId="00E9F6EF" w14:textId="44BC0CEA" w:rsidR="000975D4" w:rsidRPr="005D549B" w:rsidRDefault="00182083" w:rsidP="00270ADE">
            <w:pPr>
              <w:tabs>
                <w:tab w:val="left" w:pos="993"/>
              </w:tabs>
              <w:contextualSpacing/>
              <w:rPr>
                <w:color w:val="FF0000"/>
              </w:rPr>
            </w:pPr>
            <w:r w:rsidRPr="005D549B">
              <w:t xml:space="preserve">Оплата выполненных </w:t>
            </w:r>
            <w:r w:rsidR="00542F11" w:rsidRPr="005D549B">
              <w:t>работ определяется</w:t>
            </w:r>
            <w:r w:rsidR="00270ADE" w:rsidRPr="005D549B">
              <w:t xml:space="preserve"> по итогам тендерных процедур</w:t>
            </w:r>
            <w:r w:rsidR="000975D4" w:rsidRPr="005D549B">
              <w:rPr>
                <w:color w:val="FF0000"/>
              </w:rPr>
              <w:t xml:space="preserve"> </w:t>
            </w:r>
          </w:p>
        </w:tc>
      </w:tr>
      <w:tr w:rsidR="001724D1" w:rsidRPr="005D549B" w14:paraId="778CECFD" w14:textId="77777777" w:rsidTr="00585F62">
        <w:tc>
          <w:tcPr>
            <w:tcW w:w="801" w:type="dxa"/>
          </w:tcPr>
          <w:p w14:paraId="4EDDE009" w14:textId="27CC9BD2" w:rsidR="001724D1" w:rsidRPr="005D549B" w:rsidRDefault="00542F11" w:rsidP="000C2F6E">
            <w:pPr>
              <w:tabs>
                <w:tab w:val="left" w:pos="993"/>
              </w:tabs>
              <w:contextualSpacing/>
              <w:jc w:val="center"/>
              <w:rPr>
                <w:b/>
              </w:rPr>
            </w:pPr>
            <w:r w:rsidRPr="005D549B">
              <w:rPr>
                <w:b/>
              </w:rPr>
              <w:t>8</w:t>
            </w:r>
          </w:p>
        </w:tc>
        <w:tc>
          <w:tcPr>
            <w:tcW w:w="3022" w:type="dxa"/>
          </w:tcPr>
          <w:p w14:paraId="30E8A6E4" w14:textId="41A558DA" w:rsidR="001724D1" w:rsidRPr="005D549B" w:rsidRDefault="001724D1" w:rsidP="002D3A22">
            <w:pPr>
              <w:tabs>
                <w:tab w:val="left" w:pos="993"/>
              </w:tabs>
              <w:contextualSpacing/>
              <w:jc w:val="both"/>
              <w:rPr>
                <w:b/>
              </w:rPr>
            </w:pPr>
            <w:r w:rsidRPr="005D549B">
              <w:rPr>
                <w:b/>
              </w:rPr>
              <w:t>Гарантия</w:t>
            </w:r>
          </w:p>
        </w:tc>
        <w:tc>
          <w:tcPr>
            <w:tcW w:w="6605" w:type="dxa"/>
          </w:tcPr>
          <w:p w14:paraId="685748B3" w14:textId="195553C6" w:rsidR="001724D1" w:rsidRPr="005D549B" w:rsidRDefault="005D549B" w:rsidP="00C52DA8">
            <w:pPr>
              <w:tabs>
                <w:tab w:val="left" w:pos="993"/>
              </w:tabs>
              <w:contextualSpacing/>
              <w:jc w:val="both"/>
            </w:pPr>
            <w:r w:rsidRPr="005D549B">
              <w:t>60</w:t>
            </w:r>
            <w:r w:rsidR="00270ADE" w:rsidRPr="005D549B">
              <w:t xml:space="preserve"> мес.</w:t>
            </w:r>
          </w:p>
        </w:tc>
      </w:tr>
      <w:tr w:rsidR="00560ED6" w:rsidRPr="005D549B" w14:paraId="6A811777" w14:textId="77777777" w:rsidTr="00585F62">
        <w:tc>
          <w:tcPr>
            <w:tcW w:w="801" w:type="dxa"/>
          </w:tcPr>
          <w:p w14:paraId="3A29B87F" w14:textId="6AFE88FD" w:rsidR="00560ED6" w:rsidRPr="005D549B" w:rsidRDefault="00A31E8B" w:rsidP="00560ED6">
            <w:pPr>
              <w:tabs>
                <w:tab w:val="left" w:pos="993"/>
              </w:tabs>
              <w:contextualSpacing/>
              <w:jc w:val="center"/>
              <w:rPr>
                <w:b/>
              </w:rPr>
            </w:pPr>
            <w:r w:rsidRPr="005D549B">
              <w:rPr>
                <w:b/>
              </w:rPr>
              <w:t>9</w:t>
            </w:r>
          </w:p>
        </w:tc>
        <w:tc>
          <w:tcPr>
            <w:tcW w:w="3022" w:type="dxa"/>
          </w:tcPr>
          <w:p w14:paraId="6D97B0E8" w14:textId="25303739" w:rsidR="00560ED6" w:rsidRPr="005D549B" w:rsidRDefault="00560ED6" w:rsidP="00560ED6">
            <w:pPr>
              <w:tabs>
                <w:tab w:val="left" w:pos="993"/>
              </w:tabs>
              <w:contextualSpacing/>
              <w:jc w:val="both"/>
              <w:rPr>
                <w:b/>
              </w:rPr>
            </w:pPr>
            <w:r w:rsidRPr="005D549B">
              <w:rPr>
                <w:b/>
              </w:rPr>
              <w:t>Требования к подрядной организации</w:t>
            </w:r>
          </w:p>
        </w:tc>
        <w:tc>
          <w:tcPr>
            <w:tcW w:w="6605" w:type="dxa"/>
          </w:tcPr>
          <w:p w14:paraId="19F5DFE0" w14:textId="2002F00B" w:rsidR="007B2093" w:rsidRPr="005D549B" w:rsidRDefault="00542F11" w:rsidP="007B2093">
            <w:pPr>
              <w:tabs>
                <w:tab w:val="left" w:pos="993"/>
              </w:tabs>
              <w:contextualSpacing/>
              <w:jc w:val="both"/>
              <w:rPr>
                <w:color w:val="000000"/>
                <w:shd w:val="clear" w:color="auto" w:fill="FFFFFF"/>
              </w:rPr>
            </w:pPr>
            <w:r w:rsidRPr="005D549B">
              <w:rPr>
                <w:color w:val="000000"/>
                <w:shd w:val="clear" w:color="auto" w:fill="FFFFFF"/>
              </w:rPr>
              <w:t>Подрядчик должен</w:t>
            </w:r>
            <w:r w:rsidR="007B2093" w:rsidRPr="005D549B">
              <w:rPr>
                <w:color w:val="000000"/>
                <w:shd w:val="clear" w:color="auto" w:fill="FFFFFF"/>
              </w:rPr>
              <w:t xml:space="preserve"> иметь опыт выполнения аналогичных работ, располагающими техническими средствами</w:t>
            </w:r>
            <w:r w:rsidR="00270ADE" w:rsidRPr="005D549B">
              <w:rPr>
                <w:color w:val="000000"/>
                <w:shd w:val="clear" w:color="auto" w:fill="FFFFFF"/>
              </w:rPr>
              <w:t xml:space="preserve">, иметь достаточное количество специалистов </w:t>
            </w:r>
            <w:r w:rsidRPr="005D549B">
              <w:rPr>
                <w:color w:val="000000"/>
                <w:shd w:val="clear" w:color="auto" w:fill="FFFFFF"/>
              </w:rPr>
              <w:t>соответствующей квалификации</w:t>
            </w:r>
            <w:r w:rsidR="007B2093" w:rsidRPr="005D549B">
              <w:rPr>
                <w:color w:val="000000"/>
                <w:shd w:val="clear" w:color="auto" w:fill="FFFFFF"/>
              </w:rPr>
              <w:t>, необходимой для выполнения качественной работы</w:t>
            </w:r>
            <w:r w:rsidR="00270ADE" w:rsidRPr="005D549B">
              <w:rPr>
                <w:color w:val="000000"/>
                <w:shd w:val="clear" w:color="auto" w:fill="FFFFFF"/>
              </w:rPr>
              <w:t xml:space="preserve">. </w:t>
            </w:r>
          </w:p>
          <w:p w14:paraId="24F3A324" w14:textId="6316364C" w:rsidR="007B2093" w:rsidRPr="005D549B" w:rsidRDefault="007B2093" w:rsidP="007B2093">
            <w:pPr>
              <w:tabs>
                <w:tab w:val="left" w:pos="993"/>
              </w:tabs>
              <w:contextualSpacing/>
              <w:jc w:val="both"/>
              <w:rPr>
                <w:color w:val="000000"/>
                <w:shd w:val="clear" w:color="auto" w:fill="FFFFFF"/>
              </w:rPr>
            </w:pPr>
            <w:r w:rsidRPr="005D549B">
              <w:rPr>
                <w:color w:val="000000"/>
                <w:shd w:val="clear" w:color="auto" w:fill="FFFFFF"/>
              </w:rPr>
              <w:t>Наличие опыта оказания аналогичных услуг не менее 5 лет;</w:t>
            </w:r>
          </w:p>
          <w:p w14:paraId="22A9EC72" w14:textId="09DDEA38" w:rsidR="007B2093" w:rsidRPr="005D549B" w:rsidRDefault="007B2093" w:rsidP="007B2093">
            <w:pPr>
              <w:tabs>
                <w:tab w:val="left" w:pos="993"/>
              </w:tabs>
              <w:contextualSpacing/>
              <w:jc w:val="both"/>
              <w:rPr>
                <w:color w:val="000000"/>
                <w:shd w:val="clear" w:color="auto" w:fill="FFFFFF"/>
              </w:rPr>
            </w:pPr>
            <w:r w:rsidRPr="005D549B">
              <w:rPr>
                <w:color w:val="000000"/>
                <w:shd w:val="clear" w:color="auto" w:fill="FFFFFF"/>
              </w:rPr>
              <w:t>Членство в СРО;</w:t>
            </w:r>
          </w:p>
          <w:p w14:paraId="7E0A06D1" w14:textId="431F6660" w:rsidR="00182083" w:rsidRPr="005D549B" w:rsidRDefault="007B2093" w:rsidP="00182083">
            <w:pPr>
              <w:tabs>
                <w:tab w:val="left" w:pos="993"/>
              </w:tabs>
              <w:contextualSpacing/>
              <w:jc w:val="both"/>
              <w:rPr>
                <w:color w:val="000000"/>
                <w:shd w:val="clear" w:color="auto" w:fill="FFFFFF"/>
              </w:rPr>
            </w:pPr>
            <w:r w:rsidRPr="005D549B">
              <w:rPr>
                <w:color w:val="000000"/>
                <w:shd w:val="clear" w:color="auto" w:fill="FFFFFF"/>
              </w:rPr>
              <w:t>Наличие у лиц, допущенных к производству работ, профессиональной подготовки, подтвержденной удостоверениями на право</w:t>
            </w:r>
            <w:r w:rsidR="00182083" w:rsidRPr="005D549B">
              <w:rPr>
                <w:color w:val="000000"/>
                <w:shd w:val="clear" w:color="auto" w:fill="FFFFFF"/>
              </w:rPr>
              <w:t xml:space="preserve"> проведения </w:t>
            </w:r>
            <w:r w:rsidR="00542F11" w:rsidRPr="005D549B">
              <w:rPr>
                <w:color w:val="000000"/>
                <w:shd w:val="clear" w:color="auto" w:fill="FFFFFF"/>
              </w:rPr>
              <w:t>видов работ</w:t>
            </w:r>
            <w:r w:rsidRPr="005D549B">
              <w:rPr>
                <w:color w:val="000000"/>
                <w:shd w:val="clear" w:color="auto" w:fill="FFFFFF"/>
              </w:rPr>
              <w:t xml:space="preserve">. </w:t>
            </w:r>
            <w:r w:rsidRPr="005D549B">
              <w:rPr>
                <w:color w:val="000000"/>
              </w:rPr>
              <w:br/>
            </w:r>
            <w:r w:rsidRPr="005D549B">
              <w:rPr>
                <w:color w:val="000000"/>
                <w:shd w:val="clear" w:color="auto" w:fill="FFFFFF"/>
              </w:rPr>
              <w:t xml:space="preserve">При исполнении Договора Подрядчик обеспечивает соблюдение правил действующего внутреннего распорядка Заказчика, контрольно-пропускного режима, внутренних положений и инструкций Заказчика, правила привлечения и использования труда иностранных граждан, установленные законодательством Российской Федерации и нормативными правовыми актами </w:t>
            </w:r>
            <w:r w:rsidR="000975D4" w:rsidRPr="005D549B">
              <w:rPr>
                <w:color w:val="000000"/>
                <w:shd w:val="clear" w:color="auto" w:fill="FFFFFF"/>
              </w:rPr>
              <w:t>Московской</w:t>
            </w:r>
            <w:r w:rsidR="00182083" w:rsidRPr="005D549B">
              <w:rPr>
                <w:color w:val="000000"/>
                <w:shd w:val="clear" w:color="auto" w:fill="FFFFFF"/>
              </w:rPr>
              <w:t xml:space="preserve"> </w:t>
            </w:r>
            <w:r w:rsidR="00542F11" w:rsidRPr="005D549B">
              <w:rPr>
                <w:color w:val="000000"/>
                <w:shd w:val="clear" w:color="auto" w:fill="FFFFFF"/>
              </w:rPr>
              <w:t>области.</w:t>
            </w:r>
            <w:r w:rsidRPr="005D549B">
              <w:rPr>
                <w:color w:val="000000"/>
                <w:shd w:val="clear" w:color="auto" w:fill="FFFFFF"/>
              </w:rPr>
              <w:t xml:space="preserve"> </w:t>
            </w:r>
          </w:p>
          <w:p w14:paraId="04201F26" w14:textId="5E54328D" w:rsidR="003A04A9" w:rsidRPr="005D549B" w:rsidRDefault="007B2093" w:rsidP="003A04A9">
            <w:pPr>
              <w:tabs>
                <w:tab w:val="left" w:pos="993"/>
              </w:tabs>
              <w:contextualSpacing/>
              <w:jc w:val="both"/>
              <w:rPr>
                <w:color w:val="000000"/>
                <w:shd w:val="clear" w:color="auto" w:fill="FFFFFF"/>
              </w:rPr>
            </w:pPr>
            <w:r w:rsidRPr="005D549B">
              <w:rPr>
                <w:color w:val="000000"/>
                <w:shd w:val="clear" w:color="auto" w:fill="FFFFFF"/>
              </w:rPr>
              <w:t xml:space="preserve">Все виды работ выполняются </w:t>
            </w:r>
            <w:r w:rsidR="00542F11" w:rsidRPr="005D549B">
              <w:rPr>
                <w:color w:val="000000"/>
                <w:shd w:val="clear" w:color="auto" w:fill="FFFFFF"/>
              </w:rPr>
              <w:t>из технических средств</w:t>
            </w:r>
            <w:r w:rsidR="00270ADE" w:rsidRPr="005D549B">
              <w:rPr>
                <w:color w:val="000000"/>
                <w:shd w:val="clear" w:color="auto" w:fill="FFFFFF"/>
              </w:rPr>
              <w:t xml:space="preserve"> и </w:t>
            </w:r>
            <w:r w:rsidR="00542F11" w:rsidRPr="005D549B">
              <w:rPr>
                <w:color w:val="000000"/>
                <w:shd w:val="clear" w:color="auto" w:fill="FFFFFF"/>
              </w:rPr>
              <w:t>специалистами Подрядчика</w:t>
            </w:r>
            <w:r w:rsidRPr="005D549B">
              <w:rPr>
                <w:color w:val="000000"/>
                <w:shd w:val="clear" w:color="auto" w:fill="FFFFFF"/>
              </w:rPr>
              <w:t xml:space="preserve">. </w:t>
            </w:r>
          </w:p>
          <w:p w14:paraId="73FBC59B" w14:textId="77777777" w:rsidR="00542F11" w:rsidRPr="005D549B" w:rsidRDefault="00542F11" w:rsidP="003A04A9">
            <w:pPr>
              <w:tabs>
                <w:tab w:val="left" w:pos="993"/>
              </w:tabs>
              <w:contextualSpacing/>
              <w:jc w:val="both"/>
              <w:rPr>
                <w:color w:val="000000"/>
                <w:shd w:val="clear" w:color="auto" w:fill="FFFFFF"/>
              </w:rPr>
            </w:pPr>
            <w:r w:rsidRPr="005D549B">
              <w:rPr>
                <w:color w:val="000000"/>
                <w:shd w:val="clear" w:color="auto" w:fill="FFFFFF"/>
              </w:rPr>
              <w:lastRenderedPageBreak/>
              <w:t xml:space="preserve">К заявке, приложить референс лист. В референс листе указать аналогичные реализованные проекты с возможностью посещения представителями ООО «ВОЛМА-Воскресенск» </w:t>
            </w:r>
          </w:p>
          <w:p w14:paraId="6F6AAD23" w14:textId="2D8F7803" w:rsidR="00CD551B" w:rsidRPr="005D549B" w:rsidRDefault="00CD551B" w:rsidP="003A04A9">
            <w:pPr>
              <w:tabs>
                <w:tab w:val="left" w:pos="993"/>
              </w:tabs>
              <w:contextualSpacing/>
              <w:jc w:val="both"/>
              <w:rPr>
                <w:color w:val="000000"/>
                <w:shd w:val="clear" w:color="auto" w:fill="FFFFFF"/>
              </w:rPr>
            </w:pPr>
          </w:p>
        </w:tc>
      </w:tr>
      <w:tr w:rsidR="00082574" w:rsidRPr="005D549B" w14:paraId="1AB0DE76" w14:textId="77777777" w:rsidTr="00585F62">
        <w:tc>
          <w:tcPr>
            <w:tcW w:w="801" w:type="dxa"/>
          </w:tcPr>
          <w:p w14:paraId="7143B0A2" w14:textId="64207EBC" w:rsidR="00082574" w:rsidRPr="005D549B" w:rsidRDefault="005D549B" w:rsidP="00560ED6">
            <w:pPr>
              <w:tabs>
                <w:tab w:val="left" w:pos="993"/>
              </w:tabs>
              <w:contextualSpacing/>
              <w:jc w:val="center"/>
              <w:rPr>
                <w:b/>
              </w:rPr>
            </w:pPr>
            <w:r>
              <w:rPr>
                <w:b/>
              </w:rPr>
              <w:lastRenderedPageBreak/>
              <w:t>10</w:t>
            </w:r>
          </w:p>
        </w:tc>
        <w:tc>
          <w:tcPr>
            <w:tcW w:w="3022" w:type="dxa"/>
          </w:tcPr>
          <w:p w14:paraId="4CDC3E19" w14:textId="1960A455" w:rsidR="00082574" w:rsidRPr="005D549B" w:rsidRDefault="00082574" w:rsidP="00560ED6">
            <w:pPr>
              <w:tabs>
                <w:tab w:val="left" w:pos="993"/>
              </w:tabs>
              <w:contextualSpacing/>
              <w:jc w:val="both"/>
              <w:rPr>
                <w:b/>
              </w:rPr>
            </w:pPr>
            <w:r w:rsidRPr="005D549B">
              <w:rPr>
                <w:b/>
              </w:rPr>
              <w:t>Порядок приемки выполненных работ</w:t>
            </w:r>
          </w:p>
        </w:tc>
        <w:tc>
          <w:tcPr>
            <w:tcW w:w="6605" w:type="dxa"/>
          </w:tcPr>
          <w:p w14:paraId="006E0D5F" w14:textId="77777777" w:rsidR="00082574" w:rsidRPr="005D549B" w:rsidRDefault="00082574" w:rsidP="00082574">
            <w:pPr>
              <w:tabs>
                <w:tab w:val="left" w:pos="993"/>
              </w:tabs>
              <w:contextualSpacing/>
              <w:jc w:val="both"/>
              <w:rPr>
                <w:color w:val="000000"/>
                <w:shd w:val="clear" w:color="auto" w:fill="FFFFFF"/>
              </w:rPr>
            </w:pPr>
            <w:r w:rsidRPr="005D549B">
              <w:rPr>
                <w:color w:val="000000"/>
                <w:shd w:val="clear" w:color="auto" w:fill="FFFFFF"/>
              </w:rPr>
              <w:t>Приемка выполненных работ осуществляется по адресу, указанному в пункте 2 настоящего Технического задания.</w:t>
            </w:r>
          </w:p>
          <w:p w14:paraId="1903ADC9" w14:textId="77777777" w:rsidR="00082574" w:rsidRPr="005D549B" w:rsidRDefault="00082574" w:rsidP="00082574">
            <w:pPr>
              <w:tabs>
                <w:tab w:val="left" w:pos="993"/>
              </w:tabs>
              <w:contextualSpacing/>
              <w:jc w:val="both"/>
              <w:rPr>
                <w:color w:val="000000"/>
                <w:shd w:val="clear" w:color="auto" w:fill="FFFFFF"/>
              </w:rPr>
            </w:pPr>
            <w:r w:rsidRPr="005D549B">
              <w:rPr>
                <w:color w:val="000000"/>
                <w:shd w:val="clear" w:color="auto" w:fill="FFFFFF"/>
              </w:rPr>
              <w:t xml:space="preserve">       При приемке выполненных работ исполнитель работ обязан предоставить:</w:t>
            </w:r>
          </w:p>
          <w:p w14:paraId="3D2EBB4F" w14:textId="77777777" w:rsidR="00082574" w:rsidRPr="005D549B" w:rsidRDefault="00082574" w:rsidP="00082574">
            <w:pPr>
              <w:tabs>
                <w:tab w:val="left" w:pos="993"/>
              </w:tabs>
              <w:contextualSpacing/>
              <w:jc w:val="both"/>
              <w:rPr>
                <w:color w:val="000000"/>
                <w:shd w:val="clear" w:color="auto" w:fill="FFFFFF"/>
              </w:rPr>
            </w:pPr>
            <w:r w:rsidRPr="005D549B">
              <w:rPr>
                <w:color w:val="000000"/>
                <w:shd w:val="clear" w:color="auto" w:fill="FFFFFF"/>
              </w:rPr>
              <w:t xml:space="preserve">        - Исполнительную документацию согласно Приказа Ростехнадзора от 26.12.2006 N 1128</w:t>
            </w:r>
          </w:p>
          <w:p w14:paraId="44D48906" w14:textId="77777777" w:rsidR="00082574" w:rsidRPr="005D549B" w:rsidRDefault="00082574" w:rsidP="00082574">
            <w:pPr>
              <w:tabs>
                <w:tab w:val="left" w:pos="993"/>
              </w:tabs>
              <w:contextualSpacing/>
              <w:jc w:val="both"/>
              <w:rPr>
                <w:color w:val="000000"/>
                <w:shd w:val="clear" w:color="auto" w:fill="FFFFFF"/>
              </w:rPr>
            </w:pPr>
            <w:r w:rsidRPr="005D549B">
              <w:rPr>
                <w:color w:val="000000"/>
                <w:shd w:val="clear" w:color="auto" w:fill="FFFFFF"/>
              </w:rPr>
              <w:t>(ред.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14:paraId="384719AD" w14:textId="289979B5" w:rsidR="00082574" w:rsidRPr="005D549B" w:rsidRDefault="00082574" w:rsidP="00082574">
            <w:pPr>
              <w:tabs>
                <w:tab w:val="left" w:pos="993"/>
              </w:tabs>
              <w:contextualSpacing/>
              <w:jc w:val="both"/>
              <w:rPr>
                <w:color w:val="000000"/>
                <w:shd w:val="clear" w:color="auto" w:fill="FFFFFF"/>
              </w:rPr>
            </w:pPr>
            <w:r w:rsidRPr="005D549B">
              <w:rPr>
                <w:color w:val="000000"/>
                <w:shd w:val="clear" w:color="auto" w:fill="FFFFFF"/>
              </w:rPr>
              <w:t>(вместе с "РД-11-02-2006...") (Зарегистрировано в Минюсте России 06.03.2007 N 9050)</w:t>
            </w:r>
          </w:p>
        </w:tc>
      </w:tr>
      <w:tr w:rsidR="00082574" w:rsidRPr="005D549B" w14:paraId="79C88FC2" w14:textId="77777777" w:rsidTr="00585F62">
        <w:tc>
          <w:tcPr>
            <w:tcW w:w="801" w:type="dxa"/>
          </w:tcPr>
          <w:p w14:paraId="449CE157" w14:textId="2DF89A48" w:rsidR="00082574" w:rsidRPr="005D549B" w:rsidRDefault="005D549B" w:rsidP="00560ED6">
            <w:pPr>
              <w:tabs>
                <w:tab w:val="left" w:pos="993"/>
              </w:tabs>
              <w:contextualSpacing/>
              <w:jc w:val="center"/>
              <w:rPr>
                <w:b/>
              </w:rPr>
            </w:pPr>
            <w:r>
              <w:rPr>
                <w:b/>
              </w:rPr>
              <w:t>11</w:t>
            </w:r>
          </w:p>
        </w:tc>
        <w:tc>
          <w:tcPr>
            <w:tcW w:w="3022" w:type="dxa"/>
          </w:tcPr>
          <w:p w14:paraId="517DABD5" w14:textId="7811E614" w:rsidR="00082574" w:rsidRPr="005D549B" w:rsidRDefault="00585F62" w:rsidP="00560ED6">
            <w:pPr>
              <w:tabs>
                <w:tab w:val="left" w:pos="993"/>
              </w:tabs>
              <w:contextualSpacing/>
              <w:jc w:val="both"/>
              <w:rPr>
                <w:b/>
              </w:rPr>
            </w:pPr>
            <w:r w:rsidRPr="005D549B">
              <w:rPr>
                <w:b/>
              </w:rPr>
              <w:t>Требования к сметной документации</w:t>
            </w:r>
          </w:p>
        </w:tc>
        <w:tc>
          <w:tcPr>
            <w:tcW w:w="6605" w:type="dxa"/>
          </w:tcPr>
          <w:p w14:paraId="2D10F815" w14:textId="77777777"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Сметная документация на выполнение строительно-монтажных и специальных работ составляется в программе «ГРАНД-Смета» базисно-индексным методом с использованием сборников ФЕР-2001, ФЕРр-2001, ФЕРм-2001, ФЕРп-2001 в редакции 2020 г.</w:t>
            </w:r>
          </w:p>
          <w:p w14:paraId="7F0A0B1A" w14:textId="24BF0994"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Стоимость работ в текущих ценах (Ст) рассчитывается в соответствии с методикой определения сметной стоимости строительства и действующей базой по ценообразованию в строительстве, утвержденной Госстроем России и/или Министерством строительства и жилищно-коммунального хозяйства Российской Федерации, с применением коэффициентов, учитывающих в сметах влияние условий производства работ.</w:t>
            </w:r>
          </w:p>
          <w:p w14:paraId="3F58DD9B" w14:textId="4FDF2AA9"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 xml:space="preserve">Стоимость работ в текущих ценах определяется как совокупность затрат, рассчитанных на основе сметно-нормативной базы 2001 года с применением индексов пересчета в текущие цены к базовым элементам прямых затрат: </w:t>
            </w:r>
          </w:p>
          <w:p w14:paraId="4F3A5235" w14:textId="77777777"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Ст = (ЗП2001 х Кзп) + (ЭММ2001 х Кэмм) + (М2001 х Км) + М2021 + НР + СП + Пр, где:</w:t>
            </w:r>
          </w:p>
          <w:p w14:paraId="0B709F5D" w14:textId="77777777"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 (ЗП2001 х Кзп) – размер средств на оплату труда рабочих-строителей в текущем уровне цен рассчитывается как произведение базового элемента затрат ЗП2001 и индекса пересчета в текущие цены Кзп, зафиксированного на текущий квартал 2022 года и применяемого на весь период действия настоящего Договора;</w:t>
            </w:r>
          </w:p>
          <w:p w14:paraId="7A9E59AB" w14:textId="77777777"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 (ЭММ2001 х Кэмм) – размер средств на эксплуатацию машин и механизмов в текущем уровне цен рассчитывается как произведение базового элемента затрат ЭММ2001 (с учетом з/платы механизаторов) и индекса пересчета в текущие цены Кэмм, зафиксированного на текущий квартал 2022 года и применяемого на весь период действия настоящего Договора;</w:t>
            </w:r>
          </w:p>
          <w:p w14:paraId="27E2FFBE" w14:textId="77777777"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lastRenderedPageBreak/>
              <w:t>- (М2001 х Км) – размер средств стоимости вспомогательных материальных ресурсов в текущем уровне цен рассчитывается как произведение базового элемента затрат М2001 и индекса пересчета в текущие цены Км, зафиксированного на текущий квартал 2022 года и применяемого на весь период действия настоящего Договора;</w:t>
            </w:r>
          </w:p>
          <w:p w14:paraId="4A79D0FF" w14:textId="77777777"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 М2021 – размер средств стоимости основных материальных ресурсов в текущем уровне цен, подлежащих согласованию с Заказчиком;</w:t>
            </w:r>
          </w:p>
          <w:p w14:paraId="3E53B096" w14:textId="77777777"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 НР – накладные расходы. Величина накладных расходов определяется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21.12.2020г. №812/пр», с применением понижающего договорного коэффициента К = 0,9 ко всем локально-сметным расчетам;</w:t>
            </w:r>
          </w:p>
          <w:p w14:paraId="2BAA3E30" w14:textId="77777777"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 xml:space="preserve">- СП – сметная прибыль. Величина сметной прибыли определяется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11.12.2020г. №774/пр» с применением понижающего договорного коэффициента К = 0,85 ко всем локально-сметным расчетам; </w:t>
            </w:r>
          </w:p>
          <w:p w14:paraId="3D208D28" w14:textId="77777777"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 Пр – прочие затраты.</w:t>
            </w:r>
          </w:p>
          <w:p w14:paraId="24D40994" w14:textId="3F748291" w:rsidR="00487FF9"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 xml:space="preserve">Стоимость основных материалов и оборудования (за исключением давальческих материалов и оборудования Заказчика) определяется на основании текущих цен с учетом данных мониторинга на стадии согласования и подписания локально-сметных расчетов Сторонами настоящего Договора. При этом цена на материалы и оборудование не может превышать среднюю цену по региону, согласно мониторингу цен, проводимому Заказчиком. Стоимость основных материалов и оборудования, применяемых в сметной документации на стадии согласования локально-сметных расчётов, подтверждается прайс-листами или счетами поставщиков. В актах выполненных работ формы КС-2 стоимость основных материалов (товарный бетон, ж/б изделия, инертные материалы, арматура, м/к и т.д.), а также стоимость оборудования, должны подтверждаться бухгалтерскими документами фактической их оплаты. В случае обнаружения Заказчиком фактов завышения стоимости материалов и оборудования, Заказчик оставляет за собой право удержать сумму завышения из актов выполненных работ по форме КС-2. Номенклатура основных материалов указывается в проектной документации. </w:t>
            </w:r>
          </w:p>
          <w:p w14:paraId="5D35F36D" w14:textId="73C1C11A" w:rsidR="00082574" w:rsidRPr="005D549B" w:rsidRDefault="00487FF9" w:rsidP="00487FF9">
            <w:pPr>
              <w:tabs>
                <w:tab w:val="left" w:pos="993"/>
              </w:tabs>
              <w:contextualSpacing/>
              <w:jc w:val="both"/>
              <w:rPr>
                <w:color w:val="000000"/>
                <w:shd w:val="clear" w:color="auto" w:fill="FFFFFF"/>
              </w:rPr>
            </w:pPr>
            <w:r w:rsidRPr="005D549B">
              <w:rPr>
                <w:color w:val="000000"/>
                <w:shd w:val="clear" w:color="auto" w:fill="FFFFFF"/>
              </w:rPr>
              <w:t xml:space="preserve">Транспортные расходы по основным материалам определяются по фактическим затратам и подлежат </w:t>
            </w:r>
            <w:r w:rsidRPr="005D549B">
              <w:rPr>
                <w:color w:val="000000"/>
                <w:shd w:val="clear" w:color="auto" w:fill="FFFFFF"/>
              </w:rPr>
              <w:lastRenderedPageBreak/>
              <w:t>согласованию Сторонами настоящего Договора на стадии подписания локально-сметных расчетов.</w:t>
            </w:r>
          </w:p>
        </w:tc>
      </w:tr>
      <w:bookmarkEnd w:id="0"/>
    </w:tbl>
    <w:p w14:paraId="6FBDB846" w14:textId="7A5D4BCB" w:rsidR="00CA3D4F" w:rsidRPr="000C2F6E" w:rsidRDefault="00CA3D4F" w:rsidP="00CA3D4F">
      <w:pPr>
        <w:tabs>
          <w:tab w:val="left" w:pos="993"/>
        </w:tabs>
        <w:contextualSpacing/>
        <w:jc w:val="center"/>
        <w:rPr>
          <w:rFonts w:asciiTheme="minorHAnsi" w:hAnsiTheme="minorHAnsi" w:cstheme="minorHAnsi"/>
          <w:b/>
          <w:u w:val="single"/>
        </w:rPr>
      </w:pPr>
    </w:p>
    <w:sectPr w:rsidR="00CA3D4F" w:rsidRPr="000C2F6E" w:rsidSect="003134B8">
      <w:footerReference w:type="even" r:id="rId9"/>
      <w:footerReference w:type="default" r:id="rId10"/>
      <w:footerReference w:type="firs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6FE6" w14:textId="77777777" w:rsidR="00E7154A" w:rsidRDefault="00E7154A">
      <w:r>
        <w:separator/>
      </w:r>
    </w:p>
  </w:endnote>
  <w:endnote w:type="continuationSeparator" w:id="0">
    <w:p w14:paraId="1DAC5EC1" w14:textId="77777777" w:rsidR="00E7154A" w:rsidRDefault="00E7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panose1 w:val="020B0406020202030204"/>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CBFC" w14:textId="77777777" w:rsidR="002552F5" w:rsidRPr="002552F5" w:rsidRDefault="002552F5" w:rsidP="002552F5">
    <w:r w:rsidRPr="002552F5">
      <w:fldChar w:fldCharType="begin"/>
    </w:r>
    <w:r w:rsidRPr="002552F5">
      <w:instrText xml:space="preserve">PAGE  </w:instrText>
    </w:r>
    <w:r w:rsidRPr="002552F5">
      <w:fldChar w:fldCharType="separate"/>
    </w:r>
    <w:r w:rsidRPr="002552F5">
      <w:t>48</w:t>
    </w:r>
    <w:r w:rsidRPr="002552F5">
      <w:fldChar w:fldCharType="end"/>
    </w:r>
  </w:p>
  <w:p w14:paraId="675B635A" w14:textId="77777777" w:rsidR="002552F5" w:rsidRPr="002552F5" w:rsidRDefault="002552F5" w:rsidP="002552F5"/>
  <w:p w14:paraId="37FF679C" w14:textId="77777777" w:rsidR="002552F5" w:rsidRPr="002552F5" w:rsidRDefault="002552F5" w:rsidP="002552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8464" w14:textId="623063D0" w:rsidR="002552F5" w:rsidRPr="003134B8" w:rsidRDefault="003134B8" w:rsidP="002552F5">
    <w:pPr>
      <w:rPr>
        <w:sz w:val="18"/>
        <w:szCs w:val="18"/>
      </w:rPr>
    </w:pPr>
    <w:r w:rsidRPr="003134B8">
      <w:rPr>
        <w:sz w:val="18"/>
        <w:szCs w:val="18"/>
      </w:rPr>
      <w:t>Исп. Напольских Б.Н,</w:t>
    </w:r>
  </w:p>
  <w:p w14:paraId="7572174C" w14:textId="27E8DFB9" w:rsidR="003134B8" w:rsidRPr="003134B8" w:rsidRDefault="003134B8" w:rsidP="002552F5">
    <w:pPr>
      <w:rPr>
        <w:sz w:val="18"/>
        <w:szCs w:val="18"/>
      </w:rPr>
    </w:pPr>
    <w:r w:rsidRPr="003134B8">
      <w:rPr>
        <w:sz w:val="18"/>
        <w:szCs w:val="18"/>
      </w:rPr>
      <w:t>+7(927) 527 82 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7EF4" w14:textId="77777777" w:rsidR="002552F5" w:rsidRPr="002552F5" w:rsidRDefault="002552F5" w:rsidP="002552F5">
    <w:r w:rsidRPr="002552F5">
      <w:t>_____________Заказчик</w:t>
    </w:r>
    <w:r w:rsidRPr="002552F5">
      <w:tab/>
    </w:r>
    <w:r w:rsidRPr="002552F5">
      <w:tab/>
      <w:t>______________ Исполнитель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6A13" w14:textId="77777777" w:rsidR="00E7154A" w:rsidRDefault="00E7154A">
      <w:r>
        <w:separator/>
      </w:r>
    </w:p>
  </w:footnote>
  <w:footnote w:type="continuationSeparator" w:id="0">
    <w:p w14:paraId="5051CE70" w14:textId="77777777" w:rsidR="00E7154A" w:rsidRDefault="00E71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4B5"/>
    <w:multiLevelType w:val="hybridMultilevel"/>
    <w:tmpl w:val="D81E86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9C75000"/>
    <w:multiLevelType w:val="multilevel"/>
    <w:tmpl w:val="9A924B0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62C537A"/>
    <w:multiLevelType w:val="multilevel"/>
    <w:tmpl w:val="9F1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9C537F"/>
    <w:multiLevelType w:val="hybridMultilevel"/>
    <w:tmpl w:val="0DAAAFBC"/>
    <w:lvl w:ilvl="0" w:tplc="D5FA87C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1D784C3D"/>
    <w:multiLevelType w:val="hybridMultilevel"/>
    <w:tmpl w:val="23724B38"/>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768F4"/>
    <w:multiLevelType w:val="hybridMultilevel"/>
    <w:tmpl w:val="6A84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061223"/>
    <w:multiLevelType w:val="hybridMultilevel"/>
    <w:tmpl w:val="104A3D4E"/>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738529C"/>
    <w:multiLevelType w:val="hybridMultilevel"/>
    <w:tmpl w:val="311C7A0A"/>
    <w:lvl w:ilvl="0" w:tplc="B4906A9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3521676C"/>
    <w:multiLevelType w:val="hybridMultilevel"/>
    <w:tmpl w:val="F4CCD23C"/>
    <w:lvl w:ilvl="0" w:tplc="8440271E">
      <w:start w:val="1"/>
      <w:numFmt w:val="decimal"/>
      <w:lvlText w:val="%1."/>
      <w:lvlJc w:val="left"/>
      <w:pPr>
        <w:ind w:left="780" w:hanging="42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3457E9"/>
    <w:multiLevelType w:val="hybridMultilevel"/>
    <w:tmpl w:val="BB066EF6"/>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5B333F3"/>
    <w:multiLevelType w:val="hybridMultilevel"/>
    <w:tmpl w:val="19D8DE36"/>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6BD1310"/>
    <w:multiLevelType w:val="hybridMultilevel"/>
    <w:tmpl w:val="66065764"/>
    <w:lvl w:ilvl="0" w:tplc="E494B1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AB40EA2"/>
    <w:multiLevelType w:val="hybridMultilevel"/>
    <w:tmpl w:val="26C4A94C"/>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C0C3FF0"/>
    <w:multiLevelType w:val="hybridMultilevel"/>
    <w:tmpl w:val="2A242A86"/>
    <w:lvl w:ilvl="0" w:tplc="5C4433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D0E65A2"/>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3C137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A1074B"/>
    <w:multiLevelType w:val="hybridMultilevel"/>
    <w:tmpl w:val="CDA84A86"/>
    <w:lvl w:ilvl="0" w:tplc="5C4433A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55FC73A5"/>
    <w:multiLevelType w:val="hybridMultilevel"/>
    <w:tmpl w:val="2AA0879C"/>
    <w:lvl w:ilvl="0" w:tplc="DDF21670">
      <w:start w:val="1"/>
      <w:numFmt w:val="russianLower"/>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6582451"/>
    <w:multiLevelType w:val="hybridMultilevel"/>
    <w:tmpl w:val="E362C296"/>
    <w:lvl w:ilvl="0" w:tplc="6E808BD0">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F7B3BC0"/>
    <w:multiLevelType w:val="hybridMultilevel"/>
    <w:tmpl w:val="EA8CB714"/>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5721C54"/>
    <w:multiLevelType w:val="multilevel"/>
    <w:tmpl w:val="C80AE0A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2"/>
      <w:numFmt w:val="decimal"/>
      <w:lvlText w:val="%1.%2.%3."/>
      <w:lvlJc w:val="left"/>
      <w:pPr>
        <w:ind w:left="157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A7302E4"/>
    <w:multiLevelType w:val="multilevel"/>
    <w:tmpl w:val="2AEADF5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8F679A"/>
    <w:multiLevelType w:val="multilevel"/>
    <w:tmpl w:val="62920EF2"/>
    <w:lvl w:ilvl="0">
      <w:start w:val="1"/>
      <w:numFmt w:val="decimal"/>
      <w:lvlText w:val="%1."/>
      <w:lvlJc w:val="left"/>
      <w:pPr>
        <w:ind w:left="720" w:hanging="72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5" w15:restartNumberingAfterBreak="0">
    <w:nsid w:val="732819C3"/>
    <w:multiLevelType w:val="hybridMultilevel"/>
    <w:tmpl w:val="EBF8514C"/>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5591B9D"/>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7E3299"/>
    <w:multiLevelType w:val="hybridMultilevel"/>
    <w:tmpl w:val="BDC267EE"/>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AFE4087"/>
    <w:multiLevelType w:val="hybridMultilevel"/>
    <w:tmpl w:val="74A8C720"/>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42246A"/>
    <w:multiLevelType w:val="hybridMultilevel"/>
    <w:tmpl w:val="7BF861E6"/>
    <w:lvl w:ilvl="0" w:tplc="5C4433A0">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1"/>
  </w:num>
  <w:num w:numId="2">
    <w:abstractNumId w:val="6"/>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15"/>
  </w:num>
  <w:num w:numId="16">
    <w:abstractNumId w:val="29"/>
  </w:num>
  <w:num w:numId="17">
    <w:abstractNumId w:val="28"/>
  </w:num>
  <w:num w:numId="18">
    <w:abstractNumId w:val="4"/>
  </w:num>
  <w:num w:numId="19">
    <w:abstractNumId w:val="26"/>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9"/>
  </w:num>
  <w:num w:numId="25">
    <w:abstractNumId w:val="23"/>
  </w:num>
  <w:num w:numId="26">
    <w:abstractNumId w:val="2"/>
  </w:num>
  <w:num w:numId="27">
    <w:abstractNumId w:val="1"/>
  </w:num>
  <w:num w:numId="28">
    <w:abstractNumId w:val="13"/>
  </w:num>
  <w:num w:numId="29">
    <w:abstractNumId w:val="8"/>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58"/>
    <w:rsid w:val="00013DE2"/>
    <w:rsid w:val="00017211"/>
    <w:rsid w:val="00082574"/>
    <w:rsid w:val="000836A4"/>
    <w:rsid w:val="000975D4"/>
    <w:rsid w:val="000A1E0A"/>
    <w:rsid w:val="000C2F6E"/>
    <w:rsid w:val="000E0821"/>
    <w:rsid w:val="000F280A"/>
    <w:rsid w:val="00100B67"/>
    <w:rsid w:val="00163AB2"/>
    <w:rsid w:val="001724D1"/>
    <w:rsid w:val="00182083"/>
    <w:rsid w:val="00197DC2"/>
    <w:rsid w:val="001A40E9"/>
    <w:rsid w:val="001B16AE"/>
    <w:rsid w:val="001C25FC"/>
    <w:rsid w:val="001E0729"/>
    <w:rsid w:val="001E3E91"/>
    <w:rsid w:val="001E57D5"/>
    <w:rsid w:val="001F0CC5"/>
    <w:rsid w:val="001F20E9"/>
    <w:rsid w:val="0020044B"/>
    <w:rsid w:val="00226E60"/>
    <w:rsid w:val="00237C84"/>
    <w:rsid w:val="002552F5"/>
    <w:rsid w:val="00261D4B"/>
    <w:rsid w:val="00270ADE"/>
    <w:rsid w:val="002869CF"/>
    <w:rsid w:val="002D3A22"/>
    <w:rsid w:val="002F6EA0"/>
    <w:rsid w:val="003026D4"/>
    <w:rsid w:val="003134B8"/>
    <w:rsid w:val="00316213"/>
    <w:rsid w:val="00326DA6"/>
    <w:rsid w:val="003506DD"/>
    <w:rsid w:val="003A04A9"/>
    <w:rsid w:val="003A0977"/>
    <w:rsid w:val="0041081E"/>
    <w:rsid w:val="00413061"/>
    <w:rsid w:val="00417D70"/>
    <w:rsid w:val="00451E20"/>
    <w:rsid w:val="00472480"/>
    <w:rsid w:val="00481B58"/>
    <w:rsid w:val="00487FF9"/>
    <w:rsid w:val="00494E8C"/>
    <w:rsid w:val="004D29D7"/>
    <w:rsid w:val="004D4537"/>
    <w:rsid w:val="0050248D"/>
    <w:rsid w:val="0052148F"/>
    <w:rsid w:val="00542F11"/>
    <w:rsid w:val="00560187"/>
    <w:rsid w:val="00560ED6"/>
    <w:rsid w:val="00562124"/>
    <w:rsid w:val="00573235"/>
    <w:rsid w:val="00585F62"/>
    <w:rsid w:val="005D549B"/>
    <w:rsid w:val="005F2DCA"/>
    <w:rsid w:val="005F6F44"/>
    <w:rsid w:val="00656E4C"/>
    <w:rsid w:val="006C6AD2"/>
    <w:rsid w:val="006E5472"/>
    <w:rsid w:val="006F475A"/>
    <w:rsid w:val="007046E2"/>
    <w:rsid w:val="00704EE9"/>
    <w:rsid w:val="00711C3A"/>
    <w:rsid w:val="00712D91"/>
    <w:rsid w:val="00732D06"/>
    <w:rsid w:val="007812A2"/>
    <w:rsid w:val="007B2093"/>
    <w:rsid w:val="007D742C"/>
    <w:rsid w:val="0080697F"/>
    <w:rsid w:val="008637EF"/>
    <w:rsid w:val="00876257"/>
    <w:rsid w:val="008D2632"/>
    <w:rsid w:val="008E755A"/>
    <w:rsid w:val="008F319A"/>
    <w:rsid w:val="00910DEB"/>
    <w:rsid w:val="00916025"/>
    <w:rsid w:val="00923256"/>
    <w:rsid w:val="00930BF8"/>
    <w:rsid w:val="00945B62"/>
    <w:rsid w:val="00950129"/>
    <w:rsid w:val="009A12BB"/>
    <w:rsid w:val="009C759C"/>
    <w:rsid w:val="00A31E8B"/>
    <w:rsid w:val="00A5373B"/>
    <w:rsid w:val="00A80E68"/>
    <w:rsid w:val="00AD41C6"/>
    <w:rsid w:val="00B03F6E"/>
    <w:rsid w:val="00B256E0"/>
    <w:rsid w:val="00B80010"/>
    <w:rsid w:val="00BC36C6"/>
    <w:rsid w:val="00BD733F"/>
    <w:rsid w:val="00C01CEE"/>
    <w:rsid w:val="00C17521"/>
    <w:rsid w:val="00C35583"/>
    <w:rsid w:val="00C37A7E"/>
    <w:rsid w:val="00C52DA8"/>
    <w:rsid w:val="00C75D5B"/>
    <w:rsid w:val="00C849AC"/>
    <w:rsid w:val="00C96D7E"/>
    <w:rsid w:val="00CA2C97"/>
    <w:rsid w:val="00CA3D4F"/>
    <w:rsid w:val="00CB0E30"/>
    <w:rsid w:val="00CD551B"/>
    <w:rsid w:val="00CE3D49"/>
    <w:rsid w:val="00D24EA8"/>
    <w:rsid w:val="00D33752"/>
    <w:rsid w:val="00D710A2"/>
    <w:rsid w:val="00D87D73"/>
    <w:rsid w:val="00DA4B2C"/>
    <w:rsid w:val="00DB6773"/>
    <w:rsid w:val="00DF1617"/>
    <w:rsid w:val="00E23424"/>
    <w:rsid w:val="00E24E4C"/>
    <w:rsid w:val="00E7154A"/>
    <w:rsid w:val="00E7344D"/>
    <w:rsid w:val="00E808A3"/>
    <w:rsid w:val="00E87774"/>
    <w:rsid w:val="00E92C89"/>
    <w:rsid w:val="00EA7F3C"/>
    <w:rsid w:val="00EC2526"/>
    <w:rsid w:val="00F01445"/>
    <w:rsid w:val="00F12679"/>
    <w:rsid w:val="00F26A84"/>
    <w:rsid w:val="00F33DCE"/>
    <w:rsid w:val="00F34D36"/>
    <w:rsid w:val="00F7021A"/>
    <w:rsid w:val="00F87D30"/>
    <w:rsid w:val="00F919BD"/>
    <w:rsid w:val="00FA2CBF"/>
    <w:rsid w:val="00FB1CAE"/>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391"/>
  <w15:docId w15:val="{A7D85AAB-195A-415D-A699-EAB231F0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Заголовок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A311-4D3A-4D65-9F66-31A21B32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samoylenko@buxgipc.local</dc:creator>
  <cp:keywords/>
  <dc:description/>
  <cp:lastModifiedBy>napolskih</cp:lastModifiedBy>
  <cp:revision>8</cp:revision>
  <dcterms:created xsi:type="dcterms:W3CDTF">2021-09-23T07:45:00Z</dcterms:created>
  <dcterms:modified xsi:type="dcterms:W3CDTF">2022-04-07T06:49:00Z</dcterms:modified>
</cp:coreProperties>
</file>