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C2285F" w:rsidRPr="00C2285F" w:rsidRDefault="00881559" w:rsidP="00C2285F">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C2285F" w:rsidRPr="00C2285F">
        <w:rPr>
          <w:rFonts w:ascii="Times New Roman" w:hAnsi="Times New Roman" w:cs="Times New Roman"/>
          <w:b/>
          <w:sz w:val="28"/>
          <w:szCs w:val="28"/>
        </w:rPr>
        <w:t xml:space="preserve">изготовление и поставку вспомогательного оборудования для технологических нужд объекта </w:t>
      </w:r>
    </w:p>
    <w:p w:rsidR="00706B02" w:rsidRPr="00706B02" w:rsidRDefault="00C2285F" w:rsidP="00C2285F">
      <w:pPr>
        <w:spacing w:after="0"/>
        <w:jc w:val="center"/>
        <w:rPr>
          <w:rFonts w:ascii="Times New Roman" w:hAnsi="Times New Roman" w:cs="Times New Roman"/>
          <w:b/>
          <w:sz w:val="28"/>
          <w:szCs w:val="28"/>
        </w:rPr>
      </w:pPr>
      <w:r w:rsidRPr="00C2285F">
        <w:rPr>
          <w:rFonts w:ascii="Times New Roman" w:hAnsi="Times New Roman" w:cs="Times New Roman"/>
          <w:b/>
          <w:sz w:val="28"/>
          <w:szCs w:val="28"/>
        </w:rPr>
        <w:t>«Строительство линии ПГП сушило № 6 и формовка № 8» ООО «ВОЛМА-Воскресенск»</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8"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A9200A" w:rsidRPr="00A9200A" w:rsidRDefault="00A9200A" w:rsidP="00A9200A">
            <w:pPr>
              <w:pStyle w:val="Style4"/>
              <w:spacing w:line="276" w:lineRule="auto"/>
              <w:ind w:right="226"/>
              <w:contextualSpacing/>
              <w:rPr>
                <w:sz w:val="22"/>
                <w:szCs w:val="22"/>
              </w:rPr>
            </w:pPr>
            <w:r w:rsidRPr="00A9200A">
              <w:rPr>
                <w:sz w:val="22"/>
                <w:szCs w:val="22"/>
              </w:rPr>
              <w:t xml:space="preserve">Мулин Михаил Андреевич, начальник отдела организации тендеров и контроля цен, </w:t>
            </w:r>
          </w:p>
          <w:p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w:t>
            </w:r>
            <w:r w:rsidR="003C7E16">
              <w:rPr>
                <w:rFonts w:ascii="Times New Roman" w:hAnsi="Times New Roman" w:cs="Times New Roman"/>
              </w:rPr>
              <w:t>,</w:t>
            </w:r>
            <w:r w:rsidRPr="00A9200A">
              <w:rPr>
                <w:rFonts w:ascii="Times New Roman" w:hAnsi="Times New Roman" w:cs="Times New Roman"/>
              </w:rPr>
              <w:t xml:space="preserve"> +7 (906) 165-32-23</w:t>
            </w:r>
            <w:r w:rsidR="003C7E16">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9"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r w:rsidRPr="00A9200A">
                <w:rPr>
                  <w:rStyle w:val="af"/>
                  <w:rFonts w:ascii="Times New Roman" w:hAnsi="Times New Roman" w:cs="Times New Roman"/>
                  <w:lang w:val="en-US"/>
                </w:rPr>
                <w:t>volma</w:t>
              </w:r>
              <w:r w:rsidRPr="00A9200A">
                <w:rPr>
                  <w:rStyle w:val="af"/>
                  <w:rFonts w:ascii="Times New Roman" w:hAnsi="Times New Roman" w:cs="Times New Roman"/>
                </w:rPr>
                <w:t>.</w:t>
              </w:r>
              <w:r w:rsidRPr="00A9200A">
                <w:rPr>
                  <w:rStyle w:val="af"/>
                  <w:rFonts w:ascii="Times New Roman" w:hAnsi="Times New Roman" w:cs="Times New Roman"/>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C2285F" w:rsidRPr="00C2285F" w:rsidRDefault="00C2285F" w:rsidP="00C2285F">
            <w:pPr>
              <w:contextualSpacing/>
              <w:jc w:val="both"/>
              <w:rPr>
                <w:rFonts w:ascii="Times New Roman" w:hAnsi="Times New Roman" w:cs="Times New Roman"/>
              </w:rPr>
            </w:pPr>
            <w:r w:rsidRPr="00C2285F">
              <w:rPr>
                <w:rFonts w:ascii="Times New Roman" w:hAnsi="Times New Roman" w:cs="Times New Roman"/>
              </w:rPr>
              <w:t>Клок Валерий Валерьевич, руководитель управления по проектам ООО «УК «ВОЛМА», тел.: +7 (905) 333-33-76; E -mail: klokvv@volma.ru;</w:t>
            </w:r>
          </w:p>
          <w:p w:rsidR="0090262F" w:rsidRPr="003C7E16" w:rsidRDefault="00C2285F" w:rsidP="00C2285F">
            <w:pPr>
              <w:contextualSpacing/>
              <w:jc w:val="both"/>
              <w:rPr>
                <w:rFonts w:ascii="Times New Roman" w:hAnsi="Times New Roman" w:cs="Times New Roman"/>
              </w:rPr>
            </w:pPr>
            <w:r w:rsidRPr="00C2285F">
              <w:rPr>
                <w:rFonts w:ascii="Times New Roman" w:hAnsi="Times New Roman" w:cs="Times New Roman"/>
              </w:rPr>
              <w:t>Зинченко Вячеслав Олегович, ведущий инженер конструктор ООО «УК «ВОЛМА», тел.: +7 (961) 666-61-53; E -mail: zinchenko@volma.ru.</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C2285F" w:rsidP="00443B2D">
            <w:pPr>
              <w:autoSpaceDE w:val="0"/>
              <w:spacing w:after="0" w:line="240" w:lineRule="auto"/>
              <w:contextualSpacing/>
              <w:jc w:val="both"/>
              <w:rPr>
                <w:rFonts w:ascii="Times New Roman" w:hAnsi="Times New Roman" w:cs="Times New Roman"/>
                <w:i/>
              </w:rPr>
            </w:pPr>
            <w:r w:rsidRPr="00C2285F">
              <w:rPr>
                <w:rFonts w:ascii="Times New Roman" w:hAnsi="Times New Roman" w:cs="Times New Roman"/>
              </w:rPr>
              <w:t>ООО «ВОЛМА-Воскресенск», Московская обл., г. Воскресенск, ул. Кирова, д.3, строение 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C2285F" w:rsidP="00425D2D">
            <w:pPr>
              <w:pStyle w:val="Standard"/>
              <w:shd w:val="clear" w:color="auto" w:fill="FFFFFF"/>
              <w:tabs>
                <w:tab w:val="left" w:pos="168"/>
              </w:tabs>
              <w:spacing w:after="0"/>
              <w:ind w:right="-1"/>
              <w:jc w:val="both"/>
              <w:rPr>
                <w:rFonts w:ascii="Times New Roman" w:hAnsi="Times New Roman"/>
                <w:b/>
              </w:rPr>
            </w:pPr>
            <w:r w:rsidRPr="00C2285F">
              <w:rPr>
                <w:rFonts w:ascii="Times New Roman" w:hAnsi="Times New Roman"/>
                <w:kern w:val="0"/>
                <w:lang w:eastAsia="ar-SA"/>
              </w:rPr>
              <w:t>Изготовление и поставка вспомогательного оборудования - тележка транспортировочная согласно чертежа В7002.00.00.000СБ – в количестве 42 штук для нужд ООО «ВОЛМА-Воскресенск»</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443B2D" w:rsidRDefault="008D02A5" w:rsidP="00443B2D">
            <w:pPr>
              <w:autoSpaceDE w:val="0"/>
              <w:spacing w:after="0" w:line="240" w:lineRule="auto"/>
              <w:contextualSpacing/>
              <w:jc w:val="both"/>
            </w:pPr>
            <w:r w:rsidRPr="002B560B">
              <w:rPr>
                <w:rFonts w:ascii="Times New Roman" w:eastAsia="Calibri" w:hAnsi="Times New Roman" w:cs="Times New Roman"/>
                <w:b/>
                <w:lang w:eastAsia="ar-SA"/>
              </w:rPr>
              <w:t>Место 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p>
          <w:p w:rsidR="00F65093" w:rsidRPr="00706B02" w:rsidRDefault="00C2285F" w:rsidP="00443B2D">
            <w:pPr>
              <w:autoSpaceDE w:val="0"/>
              <w:spacing w:after="0" w:line="240" w:lineRule="auto"/>
              <w:contextualSpacing/>
              <w:jc w:val="both"/>
              <w:rPr>
                <w:rFonts w:ascii="Times New Roman" w:hAnsi="Times New Roman" w:cs="Times New Roman"/>
                <w:i/>
              </w:rPr>
            </w:pPr>
            <w:r w:rsidRPr="00C2285F">
              <w:rPr>
                <w:rFonts w:ascii="Times New Roman" w:hAnsi="Times New Roman" w:cs="Times New Roman"/>
              </w:rPr>
              <w:t>ООО «ВОЛМА-Воскресенск», Московская область, г. Воскресенск, ул. Кирова, д. 3, строение 1.</w:t>
            </w:r>
          </w:p>
          <w:p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425D2D">
              <w:rPr>
                <w:sz w:val="22"/>
                <w:szCs w:val="22"/>
              </w:rPr>
              <w:t xml:space="preserve">31 </w:t>
            </w:r>
            <w:r w:rsidR="00C2285F">
              <w:rPr>
                <w:sz w:val="22"/>
                <w:szCs w:val="22"/>
              </w:rPr>
              <w:t>мая</w:t>
            </w:r>
            <w:r w:rsidR="00443B2D">
              <w:rPr>
                <w:sz w:val="22"/>
                <w:szCs w:val="22"/>
              </w:rPr>
              <w:t xml:space="preserve"> 2</w:t>
            </w:r>
            <w:r w:rsidR="00DB76A7" w:rsidRPr="00A9200A">
              <w:rPr>
                <w:sz w:val="22"/>
                <w:szCs w:val="22"/>
              </w:rPr>
              <w:t>02</w:t>
            </w:r>
            <w:r w:rsidR="00425D2D">
              <w:rPr>
                <w:sz w:val="22"/>
                <w:szCs w:val="22"/>
              </w:rPr>
              <w:t>3</w:t>
            </w:r>
            <w:r w:rsidR="00DB76A7" w:rsidRPr="00A9200A">
              <w:rPr>
                <w:sz w:val="22"/>
                <w:szCs w:val="22"/>
              </w:rPr>
              <w:t>г.</w:t>
            </w:r>
          </w:p>
          <w:p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1E4724" w:rsidP="00577338">
            <w:pPr>
              <w:jc w:val="both"/>
              <w:rPr>
                <w:rFonts w:ascii="Times New Roman" w:hAnsi="Times New Roman" w:cs="Times New Roman"/>
              </w:rPr>
            </w:pPr>
            <w:r w:rsidRPr="001E4724">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 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2B560B">
              <w:rPr>
                <w:sz w:val="22"/>
                <w:szCs w:val="22"/>
              </w:rPr>
              <w:t>в  Приказе</w:t>
            </w:r>
            <w:proofErr w:type="gramEnd"/>
            <w:r w:rsidRPr="002B560B">
              <w:rPr>
                <w:sz w:val="22"/>
                <w:szCs w:val="22"/>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C2285F">
              <w:rPr>
                <w:rFonts w:ascii="Times New Roman" w:eastAsia="Times New Roman" w:hAnsi="Times New Roman" w:cs="Times New Roman"/>
                <w:bCs/>
              </w:rPr>
              <w:t>а электронную торговую площадку.</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2285F">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и на официальном сайте Компании </w:t>
            </w:r>
            <w:hyperlink r:id="rId10"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E4724" w:rsidRPr="001E4724" w:rsidRDefault="001E4724" w:rsidP="001E4724">
            <w:pPr>
              <w:widowControl w:val="0"/>
              <w:suppressAutoHyphens/>
              <w:spacing w:after="0"/>
              <w:jc w:val="both"/>
              <w:rPr>
                <w:rFonts w:ascii="Times New Roman" w:eastAsia="Times New Roman" w:hAnsi="Times New Roman" w:cs="Times New Roman"/>
                <w:b/>
                <w:lang w:eastAsia="ar-SA"/>
              </w:rPr>
            </w:pPr>
            <w:r w:rsidRPr="001E472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2285F" w:rsidRPr="00C2285F" w:rsidRDefault="00C2285F" w:rsidP="00C2285F">
            <w:pPr>
              <w:widowControl w:val="0"/>
              <w:suppressAutoHyphens/>
              <w:spacing w:after="0"/>
              <w:jc w:val="both"/>
              <w:rPr>
                <w:rFonts w:ascii="Times New Roman" w:eastAsia="Times New Roman" w:hAnsi="Times New Roman" w:cs="Times New Roman"/>
                <w:b/>
                <w:lang w:eastAsia="ar-SA"/>
              </w:rPr>
            </w:pPr>
            <w:r w:rsidRPr="00C2285F">
              <w:rPr>
                <w:rFonts w:ascii="Times New Roman" w:eastAsia="Times New Roman" w:hAnsi="Times New Roman" w:cs="Times New Roman"/>
                <w:b/>
                <w:lang w:eastAsia="ar-SA"/>
              </w:rPr>
              <w:t>«25» ноября 2022г. 13:00</w:t>
            </w:r>
          </w:p>
          <w:p w:rsidR="00C2285F" w:rsidRPr="00C2285F" w:rsidRDefault="00C2285F" w:rsidP="00C2285F">
            <w:pPr>
              <w:widowControl w:val="0"/>
              <w:suppressAutoHyphens/>
              <w:spacing w:after="0"/>
              <w:jc w:val="both"/>
              <w:rPr>
                <w:rFonts w:ascii="Times New Roman" w:eastAsia="Times New Roman" w:hAnsi="Times New Roman" w:cs="Times New Roman"/>
                <w:b/>
                <w:lang w:eastAsia="ar-SA"/>
              </w:rPr>
            </w:pPr>
            <w:r w:rsidRPr="00C2285F">
              <w:rPr>
                <w:rFonts w:ascii="Times New Roman" w:eastAsia="Times New Roman" w:hAnsi="Times New Roman" w:cs="Times New Roman"/>
                <w:b/>
                <w:lang w:eastAsia="ar-SA"/>
              </w:rPr>
              <w:t>Дата окончания срока подачи заявок на участие в запросе предложений:</w:t>
            </w:r>
          </w:p>
          <w:p w:rsidR="00C2285F" w:rsidRPr="00C2285F" w:rsidRDefault="00C2285F" w:rsidP="00C2285F">
            <w:pPr>
              <w:widowControl w:val="0"/>
              <w:suppressAutoHyphens/>
              <w:spacing w:after="0"/>
              <w:jc w:val="both"/>
              <w:rPr>
                <w:rFonts w:ascii="Times New Roman" w:eastAsia="Times New Roman" w:hAnsi="Times New Roman" w:cs="Times New Roman"/>
                <w:b/>
                <w:lang w:eastAsia="ar-SA"/>
              </w:rPr>
            </w:pPr>
            <w:r w:rsidRPr="00C2285F">
              <w:rPr>
                <w:rFonts w:ascii="Times New Roman" w:eastAsia="Times New Roman" w:hAnsi="Times New Roman" w:cs="Times New Roman"/>
                <w:b/>
                <w:lang w:eastAsia="ar-SA"/>
              </w:rPr>
              <w:t xml:space="preserve">«09» декабря 2022г. 18:00 </w:t>
            </w:r>
          </w:p>
          <w:p w:rsidR="00C2285F" w:rsidRPr="00C2285F" w:rsidRDefault="00C2285F" w:rsidP="00C2285F">
            <w:pPr>
              <w:widowControl w:val="0"/>
              <w:suppressAutoHyphens/>
              <w:spacing w:after="0"/>
              <w:jc w:val="both"/>
              <w:rPr>
                <w:rFonts w:ascii="Times New Roman" w:eastAsia="Times New Roman" w:hAnsi="Times New Roman" w:cs="Times New Roman"/>
                <w:b/>
                <w:lang w:eastAsia="ar-SA"/>
              </w:rPr>
            </w:pPr>
            <w:r w:rsidRPr="00C2285F">
              <w:rPr>
                <w:rFonts w:ascii="Times New Roman" w:eastAsia="Times New Roman" w:hAnsi="Times New Roman" w:cs="Times New Roman"/>
                <w:b/>
                <w:lang w:eastAsia="ar-SA"/>
              </w:rPr>
              <w:t>Дата и время открытия доступа к заявкам:</w:t>
            </w:r>
          </w:p>
          <w:p w:rsidR="00DA6D34" w:rsidRPr="00DA6D34" w:rsidRDefault="00C2285F" w:rsidP="00C2285F">
            <w:pPr>
              <w:widowControl w:val="0"/>
              <w:suppressAutoHyphens/>
              <w:spacing w:after="0"/>
              <w:jc w:val="both"/>
              <w:rPr>
                <w:rFonts w:ascii="Times New Roman" w:eastAsia="Times New Roman" w:hAnsi="Times New Roman" w:cs="Times New Roman"/>
                <w:b/>
                <w:lang w:eastAsia="ar-SA"/>
              </w:rPr>
            </w:pPr>
            <w:r w:rsidRPr="00C2285F">
              <w:rPr>
                <w:rFonts w:ascii="Times New Roman" w:eastAsia="Times New Roman" w:hAnsi="Times New Roman" w:cs="Times New Roman"/>
                <w:b/>
                <w:lang w:eastAsia="ar-SA"/>
              </w:rPr>
              <w:t>«13» декабря 2022г. 13:00</w:t>
            </w:r>
            <w:r w:rsidR="001E4724" w:rsidRPr="001E4724">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 xml:space="preserve">  </w:t>
            </w:r>
          </w:p>
          <w:p w:rsidR="005733F0" w:rsidRPr="002B560B" w:rsidRDefault="008A1DFB" w:rsidP="00C2285F">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w:t>
            </w:r>
            <w:r w:rsidR="00C2285F">
              <w:rPr>
                <w:rFonts w:ascii="Times New Roman" w:eastAsia="Times New Roman" w:hAnsi="Times New Roman" w:cs="Times New Roman"/>
                <w:bCs/>
              </w:rPr>
              <w:t>на электронную торговую площадку.</w:t>
            </w: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C2285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2285F">
              <w:rPr>
                <w:rFonts w:ascii="Times New Roman" w:hAnsi="Times New Roman" w:cs="Times New Roman"/>
                <w:b/>
              </w:rPr>
              <w:t>25</w:t>
            </w:r>
            <w:r w:rsidR="00425D2D">
              <w:rPr>
                <w:rFonts w:ascii="Times New Roman" w:hAnsi="Times New Roman" w:cs="Times New Roman"/>
                <w:b/>
              </w:rPr>
              <w:t xml:space="preserve">» </w:t>
            </w:r>
            <w:r w:rsidR="00B40749">
              <w:rPr>
                <w:rFonts w:ascii="Times New Roman" w:hAnsi="Times New Roman" w:cs="Times New Roman"/>
                <w:b/>
              </w:rPr>
              <w:t>н</w:t>
            </w:r>
            <w:r w:rsidR="00425D2D">
              <w:rPr>
                <w:rFonts w:ascii="Times New Roman" w:hAnsi="Times New Roman" w:cs="Times New Roman"/>
                <w:b/>
              </w:rPr>
              <w:t>о</w:t>
            </w:r>
            <w:r w:rsidR="001E4724">
              <w:rPr>
                <w:rFonts w:ascii="Times New Roman" w:hAnsi="Times New Roman" w:cs="Times New Roman"/>
                <w:b/>
              </w:rPr>
              <w:t xml:space="preserve">ября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C2285F">
              <w:rPr>
                <w:rFonts w:ascii="Times New Roman" w:hAnsi="Times New Roman" w:cs="Times New Roman"/>
                <w:b/>
              </w:rPr>
              <w:t>09</w:t>
            </w:r>
            <w:r w:rsidR="006E326A">
              <w:rPr>
                <w:rFonts w:ascii="Times New Roman" w:hAnsi="Times New Roman" w:cs="Times New Roman"/>
                <w:b/>
              </w:rPr>
              <w:t xml:space="preserve">» </w:t>
            </w:r>
            <w:r w:rsidR="00C2285F">
              <w:rPr>
                <w:rFonts w:ascii="Times New Roman" w:hAnsi="Times New Roman" w:cs="Times New Roman"/>
                <w:b/>
              </w:rPr>
              <w:t>дека</w:t>
            </w:r>
            <w:r w:rsidR="001E4724">
              <w:rPr>
                <w:rFonts w:ascii="Times New Roman" w:hAnsi="Times New Roman" w:cs="Times New Roman"/>
                <w:b/>
              </w:rPr>
              <w:t>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BB3B0C">
              <w:rPr>
                <w:rFonts w:ascii="Times New Roman" w:hAnsi="Times New Roman" w:cs="Times New Roman"/>
                <w:b/>
              </w:rPr>
              <w:t>2</w:t>
            </w:r>
            <w:r w:rsidR="00C2285F">
              <w:rPr>
                <w:rFonts w:ascii="Times New Roman" w:hAnsi="Times New Roman" w:cs="Times New Roman"/>
                <w:b/>
              </w:rPr>
              <w:t>0</w:t>
            </w:r>
            <w:r w:rsidRPr="00DA6D34">
              <w:rPr>
                <w:rFonts w:ascii="Times New Roman" w:hAnsi="Times New Roman" w:cs="Times New Roman"/>
                <w:b/>
              </w:rPr>
              <w:t xml:space="preserve">» </w:t>
            </w:r>
            <w:r w:rsidR="00C2285F">
              <w:rPr>
                <w:rFonts w:ascii="Times New Roman" w:hAnsi="Times New Roman" w:cs="Times New Roman"/>
                <w:b/>
              </w:rPr>
              <w:t>дека</w:t>
            </w:r>
            <w:r w:rsidR="001E4724">
              <w:rPr>
                <w:rFonts w:ascii="Times New Roman" w:hAnsi="Times New Roman" w:cs="Times New Roman"/>
                <w:b/>
              </w:rPr>
              <w:t>бря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F1653D">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134"/>
        <w:gridCol w:w="1559"/>
        <w:gridCol w:w="1560"/>
      </w:tblGrid>
      <w:tr w:rsidR="00191C3E" w:rsidRPr="002B560B" w:rsidTr="002C5B29">
        <w:trPr>
          <w:cantSplit/>
          <w:trHeight w:val="323"/>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524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13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C5B29" w:rsidRPr="002B560B" w:rsidTr="00F1653D">
        <w:trPr>
          <w:cantSplit/>
          <w:trHeight w:val="595"/>
        </w:trPr>
        <w:tc>
          <w:tcPr>
            <w:tcW w:w="709" w:type="dxa"/>
            <w:vMerge w:val="restart"/>
            <w:vAlign w:val="center"/>
          </w:tcPr>
          <w:p w:rsidR="002C5B29" w:rsidRPr="002B560B" w:rsidRDefault="00C2285F" w:rsidP="0033298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5245" w:type="dxa"/>
            <w:vAlign w:val="center"/>
          </w:tcPr>
          <w:p w:rsidR="002C5B29" w:rsidRPr="00332986" w:rsidRDefault="002C5B29" w:rsidP="00C2285F">
            <w:pPr>
              <w:spacing w:after="0" w:line="240" w:lineRule="auto"/>
              <w:contextualSpacing/>
              <w:rPr>
                <w:rFonts w:ascii="Times New Roman" w:hAnsi="Times New Roman" w:cs="Times New Roman"/>
                <w:color w:val="000000"/>
              </w:rPr>
            </w:pPr>
            <w:r w:rsidRPr="00332986">
              <w:rPr>
                <w:rFonts w:ascii="Times New Roman" w:hAnsi="Times New Roman" w:cs="Times New Roman"/>
                <w:color w:val="000000"/>
              </w:rPr>
              <w:t xml:space="preserve">Общая стоимость </w:t>
            </w:r>
            <w:r w:rsidR="00C2285F">
              <w:rPr>
                <w:rFonts w:ascii="Times New Roman" w:hAnsi="Times New Roman" w:cs="Times New Roman"/>
                <w:color w:val="000000"/>
              </w:rPr>
              <w:t>вспомогательного оборудования</w:t>
            </w:r>
            <w:r w:rsidRPr="00332986">
              <w:rPr>
                <w:rFonts w:ascii="Times New Roman" w:hAnsi="Times New Roman" w:cs="Times New Roman"/>
                <w:color w:val="000000"/>
              </w:rPr>
              <w:t xml:space="preserve"> с учетом НДС</w:t>
            </w:r>
          </w:p>
        </w:tc>
        <w:tc>
          <w:tcPr>
            <w:tcW w:w="1134" w:type="dxa"/>
            <w:vMerge w:val="restart"/>
            <w:vAlign w:val="center"/>
          </w:tcPr>
          <w:p w:rsidR="002C5B29" w:rsidRDefault="00C2285F" w:rsidP="00332986">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59" w:type="dxa"/>
            <w:vAlign w:val="center"/>
          </w:tcPr>
          <w:p w:rsidR="002C5B29" w:rsidRPr="002B560B" w:rsidRDefault="002C5B29" w:rsidP="00332986">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2C5B29" w:rsidRPr="002B560B" w:rsidRDefault="004C59FF" w:rsidP="0033298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color w:val="FF0000"/>
                <w:lang w:eastAsia="en-US"/>
              </w:rPr>
              <w:t>Стоимость оборудования представить в виде калькуляции</w:t>
            </w:r>
          </w:p>
        </w:tc>
      </w:tr>
      <w:tr w:rsidR="00F1653D" w:rsidRPr="002B560B" w:rsidTr="00F1653D">
        <w:trPr>
          <w:cantSplit/>
          <w:trHeight w:val="631"/>
        </w:trPr>
        <w:tc>
          <w:tcPr>
            <w:tcW w:w="709" w:type="dxa"/>
            <w:vMerge/>
            <w:vAlign w:val="center"/>
          </w:tcPr>
          <w:p w:rsidR="00F1653D" w:rsidRPr="002B560B" w:rsidRDefault="00F1653D"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center"/>
          </w:tcPr>
          <w:p w:rsidR="00F1653D" w:rsidRDefault="00F1653D" w:rsidP="00C2285F">
            <w:pPr>
              <w:snapToGri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w:t>
            </w:r>
            <w:r w:rsidRPr="00332986">
              <w:rPr>
                <w:rFonts w:ascii="Times New Roman" w:hAnsi="Times New Roman" w:cs="Times New Roman"/>
                <w:color w:val="000000"/>
              </w:rPr>
              <w:t>доставки до ООО "ВОЛМА-</w:t>
            </w:r>
            <w:r w:rsidR="00C2285F">
              <w:rPr>
                <w:rFonts w:ascii="Times New Roman" w:hAnsi="Times New Roman" w:cs="Times New Roman"/>
                <w:color w:val="000000"/>
              </w:rPr>
              <w:t>Воскресенск</w:t>
            </w:r>
            <w:r w:rsidRPr="00332986">
              <w:rPr>
                <w:rFonts w:ascii="Times New Roman" w:hAnsi="Times New Roman" w:cs="Times New Roman"/>
                <w:color w:val="000000"/>
              </w:rPr>
              <w:t>"</w:t>
            </w:r>
            <w:r>
              <w:rPr>
                <w:rFonts w:ascii="Times New Roman" w:hAnsi="Times New Roman" w:cs="Times New Roman"/>
                <w:color w:val="000000"/>
              </w:rPr>
              <w:t xml:space="preserve"> с учетом НДС</w:t>
            </w:r>
          </w:p>
        </w:tc>
        <w:tc>
          <w:tcPr>
            <w:tcW w:w="1134" w:type="dxa"/>
            <w:vMerge/>
            <w:vAlign w:val="center"/>
          </w:tcPr>
          <w:p w:rsidR="00F1653D" w:rsidRDefault="00F1653D"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F1653D" w:rsidRPr="002B560B" w:rsidRDefault="00F1653D"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F1653D" w:rsidRPr="002B560B" w:rsidRDefault="00F1653D"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C5B29" w:rsidRPr="002B560B" w:rsidTr="00F1653D">
        <w:trPr>
          <w:cantSplit/>
          <w:trHeight w:val="631"/>
        </w:trPr>
        <w:tc>
          <w:tcPr>
            <w:tcW w:w="709" w:type="dxa"/>
            <w:vMerge/>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5245" w:type="dxa"/>
            <w:vAlign w:val="center"/>
          </w:tcPr>
          <w:p w:rsidR="002C5B29" w:rsidRDefault="002C5B29" w:rsidP="00C2285F">
            <w:pPr>
              <w:snapToGri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w:t>
            </w:r>
            <w:r>
              <w:rPr>
                <w:rFonts w:ascii="Times New Roman" w:hAnsi="Times New Roman" w:cs="Times New Roman"/>
                <w:color w:val="000000"/>
              </w:rPr>
              <w:t xml:space="preserve"> доставкой до ООО «</w:t>
            </w:r>
            <w:r w:rsidRPr="00332986">
              <w:rPr>
                <w:rFonts w:ascii="Times New Roman" w:hAnsi="Times New Roman" w:cs="Times New Roman"/>
                <w:color w:val="000000"/>
              </w:rPr>
              <w:t>ВОЛМА-</w:t>
            </w:r>
            <w:r w:rsidR="00C2285F">
              <w:rPr>
                <w:rFonts w:ascii="Times New Roman" w:hAnsi="Times New Roman" w:cs="Times New Roman"/>
                <w:color w:val="000000"/>
              </w:rPr>
              <w:t>Воскресенск</w:t>
            </w:r>
            <w:r>
              <w:rPr>
                <w:rFonts w:ascii="Times New Roman" w:hAnsi="Times New Roman" w:cs="Times New Roman"/>
                <w:color w:val="000000"/>
              </w:rPr>
              <w:t>»</w:t>
            </w:r>
            <w:r w:rsidRPr="00085CE9">
              <w:rPr>
                <w:rFonts w:ascii="Times New Roman" w:hAnsi="Times New Roman"/>
              </w:rPr>
              <w:t xml:space="preserve"> </w:t>
            </w:r>
            <w:r>
              <w:rPr>
                <w:rFonts w:ascii="Times New Roman" w:eastAsiaTheme="minorHAnsi" w:hAnsi="Times New Roman" w:cs="Times New Roman"/>
                <w:lang w:eastAsia="en-US"/>
              </w:rPr>
              <w:t>с учетом НДС</w:t>
            </w:r>
          </w:p>
        </w:tc>
        <w:tc>
          <w:tcPr>
            <w:tcW w:w="1134" w:type="dxa"/>
            <w:vMerge/>
            <w:vAlign w:val="center"/>
          </w:tcPr>
          <w:p w:rsidR="002C5B29"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59" w:type="dxa"/>
            <w:vAlign w:val="center"/>
          </w:tcPr>
          <w:p w:rsidR="002C5B29" w:rsidRPr="002B560B" w:rsidRDefault="002C5B2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C5B29" w:rsidRPr="002B560B" w:rsidRDefault="002C5B2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2C5B29">
        <w:trPr>
          <w:cantSplit/>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524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13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w:t>
            </w:r>
            <w:bookmarkStart w:id="120" w:name="_GoBack"/>
            <w:bookmarkEnd w:id="120"/>
            <w:r>
              <w:rPr>
                <w:rFonts w:ascii="Times New Roman" w:eastAsiaTheme="minorHAnsi" w:hAnsi="Times New Roman" w:cs="Times New Roman"/>
                <w:lang w:eastAsia="en-US"/>
              </w:rPr>
              <w:t>рме 4</w:t>
            </w:r>
          </w:p>
        </w:tc>
      </w:tr>
      <w:tr w:rsidR="00191C3E" w:rsidRPr="002B560B" w:rsidTr="002C5B29">
        <w:trPr>
          <w:cantSplit/>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524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191C3E" w:rsidRPr="002B560B" w:rsidRDefault="00207B01" w:rsidP="00F1653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00F1653D">
              <w:rPr>
                <w:rFonts w:ascii="Times New Roman" w:eastAsiaTheme="minorHAnsi" w:hAnsi="Times New Roman" w:cs="Times New Roman"/>
                <w:lang w:eastAsia="en-US"/>
              </w:rPr>
              <w:t>алендарные дни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F1653D" w:rsidRPr="002B560B" w:rsidTr="002C5B29">
        <w:trPr>
          <w:cantSplit/>
          <w:trHeight w:val="611"/>
        </w:trPr>
        <w:tc>
          <w:tcPr>
            <w:tcW w:w="709" w:type="dxa"/>
            <w:vAlign w:val="center"/>
          </w:tcPr>
          <w:p w:rsidR="00F1653D" w:rsidRDefault="00F1653D"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5245" w:type="dxa"/>
            <w:shd w:val="clear" w:color="auto" w:fill="auto"/>
            <w:vAlign w:val="center"/>
          </w:tcPr>
          <w:p w:rsidR="00F1653D" w:rsidRDefault="00F1653D"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 (с момента заключения договора)</w:t>
            </w:r>
          </w:p>
        </w:tc>
        <w:tc>
          <w:tcPr>
            <w:tcW w:w="1134" w:type="dxa"/>
            <w:vAlign w:val="center"/>
          </w:tcPr>
          <w:p w:rsidR="00F1653D" w:rsidRDefault="00F1653D"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559" w:type="dxa"/>
            <w:vAlign w:val="center"/>
          </w:tcPr>
          <w:p w:rsidR="00F1653D" w:rsidRPr="002B560B" w:rsidRDefault="00F1653D"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F1653D" w:rsidRPr="002B560B" w:rsidRDefault="00F1653D"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2C5B29">
        <w:trPr>
          <w:cantSplit/>
          <w:trHeight w:val="611"/>
        </w:trPr>
        <w:tc>
          <w:tcPr>
            <w:tcW w:w="709" w:type="dxa"/>
            <w:vAlign w:val="center"/>
          </w:tcPr>
          <w:p w:rsidR="00207B01" w:rsidRDefault="00F1653D"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r w:rsidR="00207B01">
              <w:rPr>
                <w:rFonts w:ascii="Times New Roman" w:eastAsiaTheme="minorHAnsi" w:hAnsi="Times New Roman" w:cs="Times New Roman"/>
                <w:lang w:eastAsia="en-US"/>
              </w:rPr>
              <w:t>.</w:t>
            </w:r>
          </w:p>
        </w:tc>
        <w:tc>
          <w:tcPr>
            <w:tcW w:w="5245" w:type="dxa"/>
            <w:shd w:val="clear" w:color="auto" w:fill="auto"/>
            <w:vAlign w:val="center"/>
          </w:tcPr>
          <w:p w:rsidR="00207B01" w:rsidRPr="002B560B" w:rsidRDefault="00207B01"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134"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559" w:type="dxa"/>
            <w:vAlign w:val="center"/>
          </w:tcPr>
          <w:p w:rsidR="00207B01"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207B01" w:rsidRPr="002B560B" w:rsidRDefault="00207B01"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F1653D">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w:t>
            </w:r>
            <w:r w:rsidR="002C5B29">
              <w:rPr>
                <w:rFonts w:ascii="Times New Roman" w:eastAsia="Calibri" w:hAnsi="Times New Roman" w:cs="Times New Roman"/>
                <w:i/>
                <w:lang w:eastAsia="en-US"/>
              </w:rPr>
              <w:t>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5F" w:rsidRDefault="00C2285F" w:rsidP="00B4269E">
      <w:pPr>
        <w:spacing w:after="0" w:line="240" w:lineRule="auto"/>
      </w:pPr>
      <w:r>
        <w:separator/>
      </w:r>
    </w:p>
  </w:endnote>
  <w:endnote w:type="continuationSeparator" w:id="0">
    <w:p w:rsidR="00C2285F" w:rsidRDefault="00C2285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C2285F" w:rsidRPr="00AF333E" w:rsidRDefault="00C2285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C59FF">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5F" w:rsidRDefault="00C2285F" w:rsidP="00B4269E">
      <w:pPr>
        <w:spacing w:after="0" w:line="240" w:lineRule="auto"/>
      </w:pPr>
      <w:r>
        <w:separator/>
      </w:r>
    </w:p>
  </w:footnote>
  <w:footnote w:type="continuationSeparator" w:id="0">
    <w:p w:rsidR="00C2285F" w:rsidRDefault="00C2285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1392"/>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D2D"/>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9FF"/>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2D5"/>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749"/>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3B0C"/>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85F"/>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653D"/>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www.volma.ru" TargetMode="External"/><Relationship Id="rId4" Type="http://schemas.openxmlformats.org/officeDocument/2006/relationships/settings" Target="settings.xml"/><Relationship Id="rId9" Type="http://schemas.openxmlformats.org/officeDocument/2006/relationships/hyperlink" Target="mailto:tender@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FE2C-D426-4CDF-9307-D77F968D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18</Pages>
  <Words>6675</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mulin</cp:lastModifiedBy>
  <cp:revision>154</cp:revision>
  <cp:lastPrinted>2015-09-14T13:35:00Z</cp:lastPrinted>
  <dcterms:created xsi:type="dcterms:W3CDTF">2015-12-04T07:27:00Z</dcterms:created>
  <dcterms:modified xsi:type="dcterms:W3CDTF">2022-11-25T08:56:00Z</dcterms:modified>
</cp:coreProperties>
</file>