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EF1A45" w:rsidRPr="002B560B" w:rsidRDefault="00EF1A45"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4A269C" w:rsidRDefault="00581D49" w:rsidP="004A269C">
      <w:pPr>
        <w:spacing w:after="0"/>
        <w:contextualSpacing/>
        <w:jc w:val="center"/>
        <w:rPr>
          <w:rFonts w:ascii="Times New Roman" w:hAnsi="Times New Roman" w:cs="Times New Roman"/>
          <w:b/>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r w:rsidR="0063667E" w:rsidRPr="0063667E">
        <w:rPr>
          <w:rFonts w:ascii="Times New Roman" w:hAnsi="Times New Roman" w:cs="Times New Roman"/>
          <w:b/>
          <w:sz w:val="28"/>
          <w:szCs w:val="28"/>
        </w:rPr>
        <w:t xml:space="preserve">на изготовление и поставку рекламной одежды </w:t>
      </w:r>
    </w:p>
    <w:p w:rsidR="0063667E" w:rsidRPr="0063667E" w:rsidRDefault="0063667E" w:rsidP="004A269C">
      <w:pPr>
        <w:spacing w:after="0"/>
        <w:contextualSpacing/>
        <w:jc w:val="center"/>
        <w:rPr>
          <w:rFonts w:ascii="Times New Roman" w:hAnsi="Times New Roman" w:cs="Times New Roman"/>
          <w:b/>
          <w:sz w:val="28"/>
          <w:szCs w:val="28"/>
        </w:rPr>
      </w:pPr>
      <w:r w:rsidRPr="0063667E">
        <w:rPr>
          <w:rFonts w:ascii="Times New Roman" w:hAnsi="Times New Roman" w:cs="Times New Roman"/>
          <w:b/>
          <w:sz w:val="28"/>
          <w:szCs w:val="28"/>
        </w:rPr>
        <w:t>для нужд ООО “ВОЛМА-Маркетинг”</w:t>
      </w:r>
      <w:r w:rsidR="00086946">
        <w:rPr>
          <w:rFonts w:ascii="Times New Roman" w:hAnsi="Times New Roman" w:cs="Times New Roman"/>
          <w:b/>
          <w:sz w:val="28"/>
          <w:szCs w:val="28"/>
        </w:rPr>
        <w:t xml:space="preserve"> в 202</w:t>
      </w:r>
      <w:r w:rsidR="00997A72">
        <w:rPr>
          <w:rFonts w:ascii="Times New Roman" w:hAnsi="Times New Roman" w:cs="Times New Roman"/>
          <w:b/>
          <w:sz w:val="28"/>
          <w:szCs w:val="28"/>
        </w:rPr>
        <w:t>2</w:t>
      </w:r>
      <w:r w:rsidR="00086946">
        <w:rPr>
          <w:rFonts w:ascii="Times New Roman" w:hAnsi="Times New Roman" w:cs="Times New Roman"/>
          <w:b/>
          <w:sz w:val="28"/>
          <w:szCs w:val="28"/>
        </w:rPr>
        <w:t>г.</w:t>
      </w:r>
    </w:p>
    <w:p w:rsidR="0063667E" w:rsidRPr="00827F19" w:rsidRDefault="0063667E" w:rsidP="0063667E">
      <w:pPr>
        <w:jc w:val="center"/>
        <w:rPr>
          <w:b/>
        </w:rPr>
      </w:pPr>
    </w:p>
    <w:p w:rsidR="00711075" w:rsidRPr="00191C3E" w:rsidRDefault="00711075" w:rsidP="0063667E">
      <w:pP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997A72">
        <w:rPr>
          <w:rFonts w:ascii="Times New Roman" w:hAnsi="Times New Roman" w:cs="Times New Roman"/>
          <w:b/>
          <w:noProof/>
          <w:sz w:val="24"/>
          <w:szCs w:val="24"/>
        </w:rPr>
        <w:t>2</w:t>
      </w:r>
      <w:r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lastRenderedPageBreak/>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rsidR="00997A72" w:rsidRPr="00662B1A" w:rsidRDefault="00997A72" w:rsidP="00997A72">
      <w:pPr>
        <w:spacing w:after="0"/>
        <w:ind w:firstLine="284"/>
        <w:jc w:val="both"/>
        <w:outlineLvl w:val="0"/>
        <w:rPr>
          <w:rFonts w:ascii="Times New Roman" w:eastAsia="Times New Roman" w:hAnsi="Times New Roman" w:cs="Times New Roman"/>
          <w:b/>
        </w:rPr>
      </w:pPr>
    </w:p>
    <w:p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Default="00301EBA" w:rsidP="002B560B">
      <w:pPr>
        <w:spacing w:after="0"/>
        <w:ind w:firstLine="284"/>
        <w:jc w:val="both"/>
        <w:rPr>
          <w:rFonts w:ascii="Times New Roman" w:eastAsia="Times New Roman" w:hAnsi="Times New Roman" w:cs="Times New Roman"/>
          <w:bCs/>
        </w:rPr>
      </w:pPr>
    </w:p>
    <w:p w:rsidR="00301EBA" w:rsidRPr="002B560B" w:rsidRDefault="00301EBA"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301EBA">
        <w:trPr>
          <w:trHeight w:val="362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086946" w:rsidRDefault="00086946" w:rsidP="00086946">
            <w:pPr>
              <w:overflowPunct w:val="0"/>
              <w:autoSpaceDE w:val="0"/>
              <w:autoSpaceDN w:val="0"/>
              <w:adjustRightInd w:val="0"/>
              <w:spacing w:after="0"/>
              <w:textAlignment w:val="baseline"/>
              <w:rPr>
                <w:rFonts w:ascii="Times New Roman" w:hAnsi="Times New Roman" w:cs="Times New Roman"/>
              </w:rPr>
            </w:pPr>
            <w:r w:rsidRPr="00301EBA">
              <w:rPr>
                <w:rFonts w:ascii="Times New Roman" w:hAnsi="Times New Roman" w:cs="Times New Roman"/>
                <w:b/>
                <w:i/>
                <w:u w:val="single"/>
              </w:rPr>
              <w:t>По вопросам оформления заявки:</w:t>
            </w:r>
            <w:r w:rsidR="007E717A">
              <w:rPr>
                <w:rFonts w:ascii="Times New Roman" w:hAnsi="Times New Roman" w:cs="Times New Roman"/>
                <w:b/>
                <w:i/>
                <w:u w:val="single"/>
              </w:rPr>
              <w:br/>
            </w:r>
            <w:r w:rsidR="007E717A">
              <w:rPr>
                <w:rFonts w:ascii="Times New Roman" w:hAnsi="Times New Roman" w:cs="Times New Roman"/>
              </w:rPr>
              <w:t xml:space="preserve">Мулин Миахил Андреевич, начальник отдела </w:t>
            </w:r>
            <w:r w:rsidR="007E717A" w:rsidRPr="00086946">
              <w:rPr>
                <w:rFonts w:ascii="Times New Roman" w:hAnsi="Times New Roman" w:cs="Times New Roman"/>
              </w:rPr>
              <w:t>организации тендеров и контроля цен</w:t>
            </w:r>
            <w:r w:rsidR="007E717A">
              <w:rPr>
                <w:rFonts w:ascii="Times New Roman" w:hAnsi="Times New Roman" w:cs="Times New Roman"/>
              </w:rPr>
              <w:t>,</w:t>
            </w:r>
          </w:p>
          <w:p w:rsidR="007E717A" w:rsidRPr="007E717A" w:rsidRDefault="007E717A" w:rsidP="00086946">
            <w:pPr>
              <w:overflowPunct w:val="0"/>
              <w:autoSpaceDE w:val="0"/>
              <w:autoSpaceDN w:val="0"/>
              <w:adjustRightInd w:val="0"/>
              <w:spacing w:after="0"/>
              <w:textAlignment w:val="baseline"/>
              <w:rPr>
                <w:rFonts w:ascii="Times New Roman" w:hAnsi="Times New Roman" w:cs="Times New Roman"/>
              </w:rPr>
            </w:pPr>
            <w:r w:rsidRPr="00086946">
              <w:rPr>
                <w:rFonts w:ascii="Times New Roman" w:hAnsi="Times New Roman" w:cs="Times New Roman"/>
              </w:rPr>
              <w:t>тел.: +7(8442) 60-50-18 доб.41-</w:t>
            </w:r>
            <w:r>
              <w:rPr>
                <w:rFonts w:ascii="Times New Roman" w:hAnsi="Times New Roman" w:cs="Times New Roman"/>
              </w:rPr>
              <w:t>83</w:t>
            </w:r>
            <w:r w:rsidRPr="00086946">
              <w:rPr>
                <w:rFonts w:ascii="Times New Roman" w:hAnsi="Times New Roman" w:cs="Times New Roman"/>
              </w:rPr>
              <w:t xml:space="preserve">, </w:t>
            </w:r>
            <w:r w:rsidRPr="00086946">
              <w:rPr>
                <w:rFonts w:ascii="Times New Roman" w:hAnsi="Times New Roman" w:cs="Times New Roman"/>
                <w:lang w:val="en-US"/>
              </w:rPr>
              <w:t>E</w:t>
            </w:r>
            <w:r w:rsidRPr="00086946">
              <w:rPr>
                <w:rFonts w:ascii="Times New Roman" w:hAnsi="Times New Roman" w:cs="Times New Roman"/>
              </w:rPr>
              <w:t>-</w:t>
            </w:r>
            <w:r w:rsidRPr="00086946">
              <w:rPr>
                <w:rFonts w:ascii="Times New Roman" w:hAnsi="Times New Roman" w:cs="Times New Roman"/>
                <w:lang w:val="en-US"/>
              </w:rPr>
              <w:t>mail</w:t>
            </w:r>
            <w:r w:rsidRPr="00086946">
              <w:rPr>
                <w:rFonts w:ascii="Times New Roman" w:hAnsi="Times New Roman" w:cs="Times New Roman"/>
              </w:rPr>
              <w:t xml:space="preserve">: </w:t>
            </w:r>
            <w:hyperlink r:id="rId10" w:history="1">
              <w:r w:rsidRPr="00086946">
                <w:rPr>
                  <w:rStyle w:val="af"/>
                  <w:rFonts w:ascii="Times New Roman" w:hAnsi="Times New Roman" w:cs="Times New Roman"/>
                  <w:lang w:val="en-US"/>
                </w:rPr>
                <w:t>tender</w:t>
              </w:r>
              <w:r w:rsidRPr="00086946">
                <w:rPr>
                  <w:rStyle w:val="af"/>
                  <w:rFonts w:ascii="Times New Roman" w:hAnsi="Times New Roman" w:cs="Times New Roman"/>
                </w:rPr>
                <w:t>@</w:t>
              </w:r>
              <w:r w:rsidRPr="00086946">
                <w:rPr>
                  <w:rStyle w:val="af"/>
                  <w:rFonts w:ascii="Times New Roman" w:hAnsi="Times New Roman" w:cs="Times New Roman"/>
                  <w:lang w:val="en-US"/>
                </w:rPr>
                <w:t>volma</w:t>
              </w:r>
              <w:r w:rsidRPr="00086946">
                <w:rPr>
                  <w:rStyle w:val="af"/>
                  <w:rFonts w:ascii="Times New Roman" w:hAnsi="Times New Roman" w:cs="Times New Roman"/>
                </w:rPr>
                <w:t>.</w:t>
              </w:r>
              <w:r w:rsidRPr="00086946">
                <w:rPr>
                  <w:rStyle w:val="af"/>
                  <w:rFonts w:ascii="Times New Roman" w:hAnsi="Times New Roman" w:cs="Times New Roman"/>
                  <w:lang w:val="en-US"/>
                </w:rPr>
                <w:t>ru</w:t>
              </w:r>
            </w:hyperlink>
          </w:p>
          <w:p w:rsidR="00086946" w:rsidRPr="00086946" w:rsidRDefault="007E717A" w:rsidP="00086946">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Полупанова Наталья Владимировна</w:t>
            </w:r>
            <w:r w:rsidR="00086946" w:rsidRPr="00086946">
              <w:rPr>
                <w:rFonts w:ascii="Times New Roman" w:hAnsi="Times New Roman" w:cs="Times New Roman"/>
              </w:rPr>
              <w:t xml:space="preserve">, </w:t>
            </w:r>
            <w:r w:rsidR="00301EBA">
              <w:rPr>
                <w:rFonts w:ascii="Times New Roman" w:hAnsi="Times New Roman" w:cs="Times New Roman"/>
              </w:rPr>
              <w:t>главный специалист по</w:t>
            </w:r>
            <w:r w:rsidR="00086946" w:rsidRPr="00086946">
              <w:rPr>
                <w:rFonts w:ascii="Times New Roman" w:hAnsi="Times New Roman" w:cs="Times New Roman"/>
              </w:rPr>
              <w:t xml:space="preserve"> организации тендеров, </w:t>
            </w:r>
          </w:p>
          <w:p w:rsidR="00086946" w:rsidRPr="00086946" w:rsidRDefault="00086946" w:rsidP="00086946">
            <w:pPr>
              <w:overflowPunct w:val="0"/>
              <w:autoSpaceDE w:val="0"/>
              <w:autoSpaceDN w:val="0"/>
              <w:adjustRightInd w:val="0"/>
              <w:spacing w:after="0"/>
              <w:textAlignment w:val="baseline"/>
              <w:rPr>
                <w:rFonts w:ascii="Times New Roman" w:hAnsi="Times New Roman" w:cs="Times New Roman"/>
              </w:rPr>
            </w:pPr>
            <w:r w:rsidRPr="00086946">
              <w:rPr>
                <w:rFonts w:ascii="Times New Roman" w:hAnsi="Times New Roman" w:cs="Times New Roman"/>
              </w:rPr>
              <w:t>тел.: +7(8442) 60-50-18 доб.41-</w:t>
            </w:r>
            <w:r w:rsidR="000C59E3">
              <w:rPr>
                <w:rFonts w:ascii="Times New Roman" w:hAnsi="Times New Roman" w:cs="Times New Roman"/>
              </w:rPr>
              <w:t>4</w:t>
            </w:r>
            <w:r w:rsidRPr="00086946">
              <w:rPr>
                <w:rFonts w:ascii="Times New Roman" w:hAnsi="Times New Roman" w:cs="Times New Roman"/>
              </w:rPr>
              <w:t xml:space="preserve">6, </w:t>
            </w:r>
            <w:r w:rsidRPr="00086946">
              <w:rPr>
                <w:rFonts w:ascii="Times New Roman" w:hAnsi="Times New Roman" w:cs="Times New Roman"/>
                <w:lang w:val="en-US"/>
              </w:rPr>
              <w:t>E</w:t>
            </w:r>
            <w:r w:rsidRPr="00086946">
              <w:rPr>
                <w:rFonts w:ascii="Times New Roman" w:hAnsi="Times New Roman" w:cs="Times New Roman"/>
              </w:rPr>
              <w:t>-</w:t>
            </w:r>
            <w:r w:rsidRPr="00086946">
              <w:rPr>
                <w:rFonts w:ascii="Times New Roman" w:hAnsi="Times New Roman" w:cs="Times New Roman"/>
                <w:lang w:val="en-US"/>
              </w:rPr>
              <w:t>mail</w:t>
            </w:r>
            <w:r w:rsidRPr="00086946">
              <w:rPr>
                <w:rFonts w:ascii="Times New Roman" w:hAnsi="Times New Roman" w:cs="Times New Roman"/>
              </w:rPr>
              <w:t xml:space="preserve">: </w:t>
            </w:r>
            <w:hyperlink r:id="rId11" w:history="1">
              <w:r w:rsidRPr="00086946">
                <w:rPr>
                  <w:rStyle w:val="af"/>
                  <w:rFonts w:ascii="Times New Roman" w:hAnsi="Times New Roman" w:cs="Times New Roman"/>
                  <w:lang w:val="en-US"/>
                </w:rPr>
                <w:t>tender</w:t>
              </w:r>
              <w:r w:rsidRPr="00086946">
                <w:rPr>
                  <w:rStyle w:val="af"/>
                  <w:rFonts w:ascii="Times New Roman" w:hAnsi="Times New Roman" w:cs="Times New Roman"/>
                </w:rPr>
                <w:t>@</w:t>
              </w:r>
              <w:r w:rsidRPr="00086946">
                <w:rPr>
                  <w:rStyle w:val="af"/>
                  <w:rFonts w:ascii="Times New Roman" w:hAnsi="Times New Roman" w:cs="Times New Roman"/>
                  <w:lang w:val="en-US"/>
                </w:rPr>
                <w:t>volma</w:t>
              </w:r>
              <w:r w:rsidRPr="00086946">
                <w:rPr>
                  <w:rStyle w:val="af"/>
                  <w:rFonts w:ascii="Times New Roman" w:hAnsi="Times New Roman" w:cs="Times New Roman"/>
                </w:rPr>
                <w:t>.</w:t>
              </w:r>
              <w:r w:rsidRPr="00086946">
                <w:rPr>
                  <w:rStyle w:val="af"/>
                  <w:rFonts w:ascii="Times New Roman" w:hAnsi="Times New Roman" w:cs="Times New Roman"/>
                  <w:lang w:val="en-US"/>
                </w:rPr>
                <w:t>ru</w:t>
              </w:r>
            </w:hyperlink>
          </w:p>
          <w:p w:rsidR="00086946" w:rsidRPr="00301EBA" w:rsidRDefault="00086946" w:rsidP="00086946">
            <w:pPr>
              <w:overflowPunct w:val="0"/>
              <w:autoSpaceDE w:val="0"/>
              <w:autoSpaceDN w:val="0"/>
              <w:adjustRightInd w:val="0"/>
              <w:spacing w:after="0"/>
              <w:textAlignment w:val="baseline"/>
              <w:rPr>
                <w:rFonts w:ascii="Times New Roman" w:hAnsi="Times New Roman" w:cs="Times New Roman"/>
                <w:b/>
                <w:i/>
                <w:u w:val="single"/>
              </w:rPr>
            </w:pPr>
            <w:r w:rsidRPr="00301EBA">
              <w:rPr>
                <w:rFonts w:ascii="Times New Roman" w:hAnsi="Times New Roman" w:cs="Times New Roman"/>
                <w:b/>
                <w:i/>
                <w:u w:val="single"/>
              </w:rPr>
              <w:t>По техническим вопросам:</w:t>
            </w:r>
          </w:p>
          <w:p w:rsidR="00086946" w:rsidRPr="00086946" w:rsidRDefault="007E717A" w:rsidP="00086946">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 xml:space="preserve">Викторова Екатерина </w:t>
            </w:r>
            <w:r w:rsidRPr="007E717A">
              <w:rPr>
                <w:rFonts w:ascii="Times New Roman" w:hAnsi="Times New Roman" w:cs="Times New Roman"/>
              </w:rPr>
              <w:t>Станиславовна</w:t>
            </w:r>
            <w:r w:rsidR="00086946" w:rsidRPr="00086946">
              <w:rPr>
                <w:rFonts w:ascii="Times New Roman" w:hAnsi="Times New Roman" w:cs="Times New Roman"/>
              </w:rPr>
              <w:t xml:space="preserve">, </w:t>
            </w:r>
            <w:r>
              <w:rPr>
                <w:rFonts w:ascii="Times New Roman" w:hAnsi="Times New Roman" w:cs="Times New Roman"/>
              </w:rPr>
              <w:t>п</w:t>
            </w:r>
            <w:r w:rsidRPr="007E717A">
              <w:rPr>
                <w:rFonts w:ascii="Times New Roman" w:hAnsi="Times New Roman" w:cs="Times New Roman"/>
              </w:rPr>
              <w:t>роект-менеджер по маркетинговым коммуникациям</w:t>
            </w:r>
            <w:r w:rsidR="00086946" w:rsidRPr="00086946">
              <w:rPr>
                <w:rFonts w:ascii="Times New Roman" w:hAnsi="Times New Roman" w:cs="Times New Roman"/>
              </w:rPr>
              <w:t>,</w:t>
            </w:r>
          </w:p>
          <w:p w:rsidR="0063667E" w:rsidRPr="00086946" w:rsidRDefault="00086946" w:rsidP="007E717A">
            <w:pPr>
              <w:overflowPunct w:val="0"/>
              <w:autoSpaceDE w:val="0"/>
              <w:autoSpaceDN w:val="0"/>
              <w:adjustRightInd w:val="0"/>
              <w:spacing w:after="0"/>
              <w:textAlignment w:val="baseline"/>
            </w:pPr>
            <w:r w:rsidRPr="00086946">
              <w:rPr>
                <w:rFonts w:ascii="Times New Roman" w:hAnsi="Times New Roman" w:cs="Times New Roman"/>
              </w:rPr>
              <w:t>тел. +7(8442) 60-50-18 доб. 4</w:t>
            </w:r>
            <w:r w:rsidR="007E717A">
              <w:rPr>
                <w:rFonts w:ascii="Times New Roman" w:hAnsi="Times New Roman" w:cs="Times New Roman"/>
              </w:rPr>
              <w:t>0-60</w:t>
            </w:r>
            <w:r w:rsidRPr="00086946">
              <w:rPr>
                <w:rFonts w:ascii="Times New Roman" w:hAnsi="Times New Roman" w:cs="Times New Roman"/>
              </w:rPr>
              <w:t xml:space="preserve">, сот. </w:t>
            </w:r>
            <w:r w:rsidR="007E717A" w:rsidRPr="007E717A">
              <w:rPr>
                <w:rFonts w:ascii="Times New Roman" w:hAnsi="Times New Roman" w:cs="Times New Roman"/>
              </w:rPr>
              <w:t>8</w:t>
            </w:r>
            <w:r w:rsidR="007E717A">
              <w:rPr>
                <w:rFonts w:ascii="Times New Roman" w:hAnsi="Times New Roman" w:cs="Times New Roman"/>
              </w:rPr>
              <w:t>-</w:t>
            </w:r>
            <w:r w:rsidR="007E717A" w:rsidRPr="007E717A">
              <w:rPr>
                <w:rFonts w:ascii="Times New Roman" w:hAnsi="Times New Roman" w:cs="Times New Roman"/>
              </w:rPr>
              <w:t>927</w:t>
            </w:r>
            <w:r w:rsidR="007E717A">
              <w:rPr>
                <w:rFonts w:ascii="Times New Roman" w:hAnsi="Times New Roman" w:cs="Times New Roman"/>
              </w:rPr>
              <w:t>-</w:t>
            </w:r>
            <w:r w:rsidR="007E717A" w:rsidRPr="007E717A">
              <w:rPr>
                <w:rFonts w:ascii="Times New Roman" w:hAnsi="Times New Roman" w:cs="Times New Roman"/>
              </w:rPr>
              <w:t>064</w:t>
            </w:r>
            <w:r w:rsidR="007E717A">
              <w:rPr>
                <w:rFonts w:ascii="Times New Roman" w:hAnsi="Times New Roman" w:cs="Times New Roman"/>
              </w:rPr>
              <w:t>-</w:t>
            </w:r>
            <w:r w:rsidR="007E717A" w:rsidRPr="007E717A">
              <w:rPr>
                <w:rFonts w:ascii="Times New Roman" w:hAnsi="Times New Roman" w:cs="Times New Roman"/>
              </w:rPr>
              <w:t>58</w:t>
            </w:r>
            <w:r w:rsidR="007E717A">
              <w:rPr>
                <w:rFonts w:ascii="Times New Roman" w:hAnsi="Times New Roman" w:cs="Times New Roman"/>
              </w:rPr>
              <w:t>-</w:t>
            </w:r>
            <w:r w:rsidR="007E717A" w:rsidRPr="007E717A">
              <w:rPr>
                <w:rFonts w:ascii="Times New Roman" w:hAnsi="Times New Roman" w:cs="Times New Roman"/>
              </w:rPr>
              <w:t>68</w:t>
            </w:r>
            <w:r w:rsidR="00567745">
              <w:rPr>
                <w:rFonts w:ascii="Times New Roman" w:hAnsi="Times New Roman" w:cs="Times New Roman"/>
              </w:rPr>
              <w:t>,</w:t>
            </w:r>
            <w:r w:rsidR="007E717A">
              <w:rPr>
                <w:rFonts w:ascii="Times New Roman" w:hAnsi="Times New Roman" w:cs="Times New Roman"/>
              </w:rPr>
              <w:t xml:space="preserve"> </w:t>
            </w:r>
            <w:r w:rsidRPr="00086946">
              <w:rPr>
                <w:rFonts w:ascii="Times New Roman" w:hAnsi="Times New Roman" w:cs="Times New Roman"/>
                <w:lang w:val="en-US"/>
              </w:rPr>
              <w:t>E</w:t>
            </w:r>
            <w:r w:rsidRPr="00086946">
              <w:rPr>
                <w:rFonts w:ascii="Times New Roman" w:hAnsi="Times New Roman" w:cs="Times New Roman"/>
              </w:rPr>
              <w:t>-</w:t>
            </w:r>
            <w:r w:rsidRPr="00086946">
              <w:rPr>
                <w:rFonts w:ascii="Times New Roman" w:hAnsi="Times New Roman" w:cs="Times New Roman"/>
                <w:lang w:val="en-US"/>
              </w:rPr>
              <w:t>mail</w:t>
            </w:r>
            <w:r w:rsidRPr="00086946">
              <w:rPr>
                <w:rFonts w:ascii="Times New Roman" w:hAnsi="Times New Roman" w:cs="Times New Roman"/>
              </w:rPr>
              <w:t xml:space="preserve">: </w:t>
            </w:r>
            <w:hyperlink r:id="rId12" w:history="1">
              <w:r w:rsidR="007E717A">
                <w:t xml:space="preserve"> </w:t>
              </w:r>
              <w:r w:rsidR="007E717A" w:rsidRPr="007E717A">
                <w:rPr>
                  <w:rStyle w:val="af"/>
                  <w:rFonts w:ascii="Times New Roman" w:hAnsi="Times New Roman" w:cs="Times New Roman"/>
                  <w:lang w:val="en-US"/>
                </w:rPr>
                <w:t>viktorova</w:t>
              </w:r>
              <w:r w:rsidRPr="00086946">
                <w:rPr>
                  <w:rStyle w:val="af"/>
                  <w:rFonts w:ascii="Times New Roman" w:hAnsi="Times New Roman" w:cs="Times New Roman"/>
                </w:rPr>
                <w:t>@</w:t>
              </w:r>
              <w:r w:rsidRPr="00086946">
                <w:rPr>
                  <w:rStyle w:val="af"/>
                  <w:rFonts w:ascii="Times New Roman" w:hAnsi="Times New Roman" w:cs="Times New Roman"/>
                  <w:lang w:val="en-US"/>
                </w:rPr>
                <w:t>volma</w:t>
              </w:r>
              <w:r w:rsidRPr="00086946">
                <w:rPr>
                  <w:rStyle w:val="af"/>
                  <w:rFonts w:ascii="Times New Roman" w:hAnsi="Times New Roman" w:cs="Times New Roman"/>
                </w:rPr>
                <w:t>.</w:t>
              </w:r>
              <w:r w:rsidRPr="00086946">
                <w:rPr>
                  <w:rStyle w:val="af"/>
                  <w:rFonts w:ascii="Times New Roman" w:hAnsi="Times New Roman" w:cs="Times New Roman"/>
                  <w:lang w:val="en-US"/>
                </w:rPr>
                <w:t>ru</w:t>
              </w:r>
            </w:hyperlink>
            <w:r w:rsidRPr="003A728F">
              <w:t xml:space="preserve">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3667E" w:rsidRDefault="0063667E" w:rsidP="0063667E">
            <w:pPr>
              <w:pStyle w:val="Style4"/>
              <w:spacing w:line="276" w:lineRule="auto"/>
              <w:ind w:right="226"/>
              <w:rPr>
                <w:b/>
                <w:sz w:val="22"/>
                <w:szCs w:val="22"/>
                <w:lang w:val="en-US"/>
              </w:rPr>
            </w:pPr>
            <w:r>
              <w:rPr>
                <w:bCs/>
                <w:sz w:val="22"/>
                <w:szCs w:val="22"/>
              </w:rPr>
              <w:t>ООО «ВОЛМА-Маркетинг»</w:t>
            </w:r>
          </w:p>
        </w:tc>
      </w:tr>
      <w:tr w:rsidR="00DF2500" w:rsidRPr="002B560B"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63667E" w:rsidRDefault="0063667E" w:rsidP="007E717A">
            <w:pPr>
              <w:suppressAutoHyphens/>
              <w:spacing w:after="0"/>
              <w:jc w:val="both"/>
              <w:rPr>
                <w:rFonts w:ascii="Times New Roman" w:eastAsia="Calibri" w:hAnsi="Times New Roman" w:cs="Times New Roman"/>
                <w:b/>
                <w:kern w:val="3"/>
              </w:rPr>
            </w:pPr>
            <w:r w:rsidRPr="0063667E">
              <w:rPr>
                <w:rFonts w:ascii="Times New Roman" w:hAnsi="Times New Roman" w:cs="Times New Roman"/>
              </w:rPr>
              <w:t>Изготовление (пошив) по индивидуальному дизайну и поставка рекламной одежды с брендом «ВОЛМА» для нужд ООО “ВОЛМА-Маркетинг”</w:t>
            </w:r>
            <w:r w:rsidR="00086946">
              <w:rPr>
                <w:rFonts w:ascii="Times New Roman" w:hAnsi="Times New Roman" w:cs="Times New Roman"/>
              </w:rPr>
              <w:t xml:space="preserve"> в 202</w:t>
            </w:r>
            <w:r w:rsidR="00301EBA">
              <w:rPr>
                <w:rFonts w:ascii="Times New Roman" w:hAnsi="Times New Roman" w:cs="Times New Roman"/>
              </w:rPr>
              <w:t>2</w:t>
            </w:r>
            <w:r w:rsidR="00086946">
              <w:rPr>
                <w:rFonts w:ascii="Times New Roman" w:hAnsi="Times New Roman" w:cs="Times New Roman"/>
              </w:rPr>
              <w:t>г</w:t>
            </w:r>
            <w:r w:rsidRPr="0063667E">
              <w:rPr>
                <w:rFonts w:ascii="Times New Roman" w:hAnsi="Times New Roman" w:cs="Times New Roman"/>
              </w:rP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81D49" w:rsidRPr="00C34B28" w:rsidRDefault="00581D49" w:rsidP="00C34B28">
            <w:pPr>
              <w:pStyle w:val="Style4"/>
              <w:spacing w:line="276" w:lineRule="auto"/>
              <w:rPr>
                <w:b/>
                <w:color w:val="000000"/>
                <w:spacing w:val="-1"/>
                <w:sz w:val="22"/>
                <w:szCs w:val="22"/>
              </w:rPr>
            </w:pPr>
            <w:r w:rsidRPr="00E36FBC">
              <w:rPr>
                <w:b/>
              </w:rPr>
              <w:t xml:space="preserve">Место </w:t>
            </w:r>
            <w:r>
              <w:rPr>
                <w:b/>
              </w:rPr>
              <w:t xml:space="preserve">поставки </w:t>
            </w:r>
            <w:r w:rsidRPr="008C1C35">
              <w:rPr>
                <w:b/>
              </w:rPr>
              <w:t>:</w:t>
            </w:r>
            <w:r w:rsidR="00870BDE" w:rsidRPr="00E6137B">
              <w:rPr>
                <w:sz w:val="22"/>
                <w:szCs w:val="22"/>
              </w:rPr>
              <w:t xml:space="preserve"> </w:t>
            </w:r>
            <w:r w:rsidR="00C34B28" w:rsidRPr="009017C7">
              <w:rPr>
                <w:bCs/>
                <w:sz w:val="22"/>
                <w:szCs w:val="22"/>
              </w:rPr>
              <w:t>ООО «ВОЛМА-</w:t>
            </w:r>
            <w:r w:rsidR="00C34B28">
              <w:rPr>
                <w:bCs/>
                <w:sz w:val="22"/>
                <w:szCs w:val="22"/>
              </w:rPr>
              <w:t>Маркетинг</w:t>
            </w:r>
            <w:r w:rsidR="00C34B28" w:rsidRPr="009017C7">
              <w:rPr>
                <w:bCs/>
                <w:sz w:val="22"/>
                <w:szCs w:val="22"/>
              </w:rPr>
              <w:t>»</w:t>
            </w:r>
            <w:r w:rsidR="00C34B28">
              <w:rPr>
                <w:bCs/>
                <w:sz w:val="22"/>
                <w:szCs w:val="22"/>
              </w:rPr>
              <w:t>: г. Волгоград, ул. Крепильная,</w:t>
            </w:r>
            <w:r w:rsidR="00C34B28" w:rsidRPr="009017C7">
              <w:rPr>
                <w:bCs/>
                <w:sz w:val="22"/>
                <w:szCs w:val="22"/>
              </w:rPr>
              <w:t>128</w:t>
            </w:r>
          </w:p>
          <w:p w:rsidR="00870BDE" w:rsidRDefault="00581D49" w:rsidP="00870BDE">
            <w:pPr>
              <w:spacing w:after="0"/>
              <w:jc w:val="both"/>
              <w:rPr>
                <w:rFonts w:ascii="Times New Roman" w:eastAsia="Times New Roman" w:hAnsi="Times New Roman" w:cs="Times New Roman"/>
                <w:lang w:eastAsia="ar-SA"/>
              </w:rPr>
            </w:pPr>
            <w:r w:rsidRPr="00E36FBC">
              <w:rPr>
                <w:rFonts w:ascii="Times New Roman" w:eastAsia="Times New Roman" w:hAnsi="Times New Roman" w:cs="Times New Roman"/>
                <w:b/>
              </w:rPr>
              <w:t xml:space="preserve">Срок </w:t>
            </w:r>
            <w:r w:rsidR="00C34B28">
              <w:rPr>
                <w:rFonts w:ascii="Times New Roman" w:eastAsia="Times New Roman" w:hAnsi="Times New Roman" w:cs="Times New Roman"/>
                <w:b/>
              </w:rPr>
              <w:t>поставки</w:t>
            </w:r>
            <w:r w:rsidRPr="00E36FBC">
              <w:rPr>
                <w:rFonts w:ascii="Times New Roman" w:eastAsia="Times New Roman" w:hAnsi="Times New Roman" w:cs="Times New Roman"/>
                <w:b/>
              </w:rPr>
              <w:t>:</w:t>
            </w:r>
            <w:r w:rsidRPr="00E36FBC">
              <w:rPr>
                <w:rFonts w:ascii="Times New Roman" w:eastAsia="Times New Roman" w:hAnsi="Times New Roman" w:cs="Times New Roman"/>
                <w:b/>
                <w:lang w:eastAsia="ar-SA"/>
              </w:rPr>
              <w:t xml:space="preserve"> </w:t>
            </w:r>
            <w:r w:rsidR="007E717A">
              <w:rPr>
                <w:rFonts w:ascii="Times New Roman" w:eastAsia="Times New Roman" w:hAnsi="Times New Roman" w:cs="Times New Roman"/>
                <w:b/>
                <w:lang w:eastAsia="ar-SA"/>
              </w:rPr>
              <w:t>до 30</w:t>
            </w:r>
            <w:r w:rsidR="00301EBA">
              <w:rPr>
                <w:rFonts w:ascii="Times New Roman" w:eastAsia="Times New Roman" w:hAnsi="Times New Roman" w:cs="Times New Roman"/>
                <w:b/>
                <w:lang w:eastAsia="ar-SA"/>
              </w:rPr>
              <w:t>.0</w:t>
            </w:r>
            <w:r w:rsidR="007E717A">
              <w:rPr>
                <w:rFonts w:ascii="Times New Roman" w:eastAsia="Times New Roman" w:hAnsi="Times New Roman" w:cs="Times New Roman"/>
                <w:b/>
                <w:lang w:eastAsia="ar-SA"/>
              </w:rPr>
              <w:t>9</w:t>
            </w:r>
            <w:r w:rsidR="00301EBA">
              <w:rPr>
                <w:rFonts w:ascii="Times New Roman" w:eastAsia="Times New Roman" w:hAnsi="Times New Roman" w:cs="Times New Roman"/>
                <w:b/>
                <w:lang w:eastAsia="ar-SA"/>
              </w:rPr>
              <w:t xml:space="preserve">.2022г.  </w:t>
            </w:r>
            <w:r w:rsidR="00301EBA" w:rsidRPr="00301EBA">
              <w:rPr>
                <w:rFonts w:ascii="Times New Roman" w:eastAsia="Times New Roman" w:hAnsi="Times New Roman" w:cs="Times New Roman"/>
                <w:lang w:eastAsia="ar-SA"/>
              </w:rPr>
              <w:t>(</w:t>
            </w:r>
            <w:r w:rsidR="00C34B28" w:rsidRPr="00C34B28">
              <w:rPr>
                <w:rFonts w:ascii="Times New Roman" w:hAnsi="Times New Roman" w:cs="Times New Roman"/>
              </w:rPr>
              <w:t>указан в п.2.3. Технического задания</w:t>
            </w:r>
            <w:r w:rsidR="00301EBA">
              <w:rPr>
                <w:rFonts w:ascii="Times New Roman" w:hAnsi="Times New Roman" w:cs="Times New Roman"/>
              </w:rPr>
              <w:t>)</w:t>
            </w:r>
            <w:r w:rsidR="00C34B28" w:rsidRPr="00C34B28">
              <w:rPr>
                <w:rFonts w:ascii="Times New Roman" w:hAnsi="Times New Roman" w:cs="Times New Roman"/>
              </w:rPr>
              <w:t>.</w:t>
            </w:r>
          </w:p>
          <w:p w:rsidR="00ED69C7" w:rsidRPr="004751CD" w:rsidRDefault="00581D49" w:rsidP="00301EBA">
            <w:pPr>
              <w:pStyle w:val="af6"/>
              <w:jc w:val="both"/>
            </w:pPr>
            <w:r w:rsidRPr="00E36FBC">
              <w:rPr>
                <w:b/>
              </w:rPr>
              <w:t xml:space="preserve">Условия </w:t>
            </w:r>
            <w:r w:rsidR="00870BDE">
              <w:rPr>
                <w:b/>
              </w:rPr>
              <w:t>поставки</w:t>
            </w:r>
            <w:r w:rsidRPr="00E36FBC">
              <w:rPr>
                <w:b/>
              </w:rPr>
              <w:t>:</w:t>
            </w:r>
            <w:r w:rsidR="00C34B28" w:rsidRPr="0025703C">
              <w:rPr>
                <w:color w:val="000000"/>
              </w:rPr>
              <w:t xml:space="preserve"> Доставка </w:t>
            </w:r>
            <w:r w:rsidR="00301EBA">
              <w:rPr>
                <w:color w:val="000000"/>
              </w:rPr>
              <w:t>продукции</w:t>
            </w:r>
            <w:r w:rsidR="00C34B28" w:rsidRPr="0025703C">
              <w:rPr>
                <w:color w:val="000000"/>
              </w:rPr>
              <w:t xml:space="preserve"> осуществляется на склад Покупателя силами и за счет Поставщика.</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971F75" w:rsidRPr="002B560B" w:rsidRDefault="00BB3932"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rPr>
              <w:t xml:space="preserve">Срок </w:t>
            </w:r>
            <w:r w:rsidR="00A80D9B" w:rsidRPr="002B560B">
              <w:rPr>
                <w:rFonts w:ascii="Times New Roman" w:hAnsi="Times New Roman" w:cs="Times New Roman"/>
                <w:b/>
              </w:rPr>
              <w:t xml:space="preserve">и порядок </w:t>
            </w:r>
            <w:r w:rsidRPr="002B560B">
              <w:rPr>
                <w:rFonts w:ascii="Times New Roman" w:hAnsi="Times New Roman" w:cs="Times New Roman"/>
                <w:b/>
              </w:rPr>
              <w:t>оплаты</w:t>
            </w:r>
            <w:r w:rsidRPr="002B560B">
              <w:rPr>
                <w:rFonts w:ascii="Times New Roman" w:hAnsi="Times New Roman" w:cs="Times New Roman"/>
              </w:rPr>
              <w:t xml:space="preserve">: </w:t>
            </w:r>
            <w:r w:rsidR="00E73F29" w:rsidRPr="002B560B">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r w:rsidR="00971F75">
              <w:rPr>
                <w:rFonts w:ascii="Times New Roman" w:eastAsia="Times New Roman" w:hAnsi="Times New Roman" w:cs="Times New Roman"/>
                <w:lang w:eastAsia="ar-SA"/>
              </w:rPr>
              <w:t xml:space="preserve"> продукции с максимальной отсрочкой платежа.</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301EBA">
        <w:trPr>
          <w:trHeight w:val="3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301EBA" w:rsidRPr="00301EBA" w:rsidRDefault="00301EBA" w:rsidP="00301EBA">
            <w:pPr>
              <w:widowControl w:val="0"/>
              <w:suppressAutoHyphens/>
              <w:spacing w:after="0"/>
              <w:rPr>
                <w:rFonts w:ascii="Times New Roman" w:eastAsia="Times New Roman" w:hAnsi="Times New Roman" w:cs="Times New Roman"/>
                <w:b/>
                <w:lang w:eastAsia="ar-SA"/>
              </w:rPr>
            </w:pPr>
            <w:r w:rsidRPr="00301EBA">
              <w:rPr>
                <w:rFonts w:ascii="Times New Roman" w:eastAsia="Times New Roman" w:hAnsi="Times New Roman" w:cs="Times New Roman"/>
                <w:b/>
                <w:lang w:eastAsia="ar-SA"/>
              </w:rPr>
              <w:t>Дата и время начала подачи заявок на участие в запросе предложений:</w:t>
            </w:r>
          </w:p>
          <w:p w:rsidR="00301EBA" w:rsidRPr="00301EBA" w:rsidRDefault="007E717A" w:rsidP="00301EBA">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«21</w:t>
            </w:r>
            <w:r w:rsidR="00301EBA" w:rsidRPr="00301EB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июля 2022г. 08</w:t>
            </w:r>
            <w:r w:rsidR="00301EBA" w:rsidRPr="00301EBA">
              <w:rPr>
                <w:rFonts w:ascii="Times New Roman" w:eastAsia="Times New Roman" w:hAnsi="Times New Roman" w:cs="Times New Roman"/>
                <w:b/>
                <w:lang w:eastAsia="ar-SA"/>
              </w:rPr>
              <w:t xml:space="preserve">:00 </w:t>
            </w:r>
          </w:p>
          <w:p w:rsidR="00301EBA" w:rsidRPr="00301EBA" w:rsidRDefault="00301EBA" w:rsidP="00301EBA">
            <w:pPr>
              <w:widowControl w:val="0"/>
              <w:suppressAutoHyphens/>
              <w:spacing w:after="0"/>
              <w:rPr>
                <w:rFonts w:ascii="Times New Roman" w:eastAsia="Times New Roman" w:hAnsi="Times New Roman" w:cs="Times New Roman"/>
                <w:b/>
                <w:lang w:eastAsia="ar-SA"/>
              </w:rPr>
            </w:pPr>
          </w:p>
          <w:p w:rsidR="00301EBA" w:rsidRPr="00301EBA" w:rsidRDefault="00301EBA" w:rsidP="00301EBA">
            <w:pPr>
              <w:widowControl w:val="0"/>
              <w:suppressAutoHyphens/>
              <w:spacing w:after="0"/>
              <w:rPr>
                <w:rFonts w:ascii="Times New Roman" w:eastAsia="Times New Roman" w:hAnsi="Times New Roman" w:cs="Times New Roman"/>
                <w:b/>
                <w:lang w:eastAsia="ar-SA"/>
              </w:rPr>
            </w:pPr>
            <w:r w:rsidRPr="00301EBA">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301EBA" w:rsidRPr="00301EBA" w:rsidRDefault="007E717A" w:rsidP="00301EBA">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«03</w:t>
            </w:r>
            <w:r w:rsidR="00301EBA" w:rsidRPr="00301EB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августа 2022г. 20</w:t>
            </w:r>
            <w:r w:rsidR="00301EBA" w:rsidRPr="00301EBA">
              <w:rPr>
                <w:rFonts w:ascii="Times New Roman" w:eastAsia="Times New Roman" w:hAnsi="Times New Roman" w:cs="Times New Roman"/>
                <w:b/>
                <w:lang w:eastAsia="ar-SA"/>
              </w:rPr>
              <w:t xml:space="preserve">:00 </w:t>
            </w:r>
          </w:p>
          <w:p w:rsidR="00301EBA" w:rsidRPr="00301EBA" w:rsidRDefault="00301EBA" w:rsidP="00301EBA">
            <w:pPr>
              <w:widowControl w:val="0"/>
              <w:suppressAutoHyphens/>
              <w:spacing w:after="0"/>
              <w:rPr>
                <w:rFonts w:ascii="Times New Roman" w:eastAsia="Times New Roman" w:hAnsi="Times New Roman" w:cs="Times New Roman"/>
                <w:b/>
                <w:lang w:eastAsia="ar-SA"/>
              </w:rPr>
            </w:pPr>
          </w:p>
          <w:p w:rsidR="00301EBA" w:rsidRPr="00301EBA" w:rsidRDefault="00301EBA" w:rsidP="00301EBA">
            <w:pPr>
              <w:widowControl w:val="0"/>
              <w:suppressAutoHyphens/>
              <w:spacing w:after="0"/>
              <w:rPr>
                <w:rFonts w:ascii="Times New Roman" w:eastAsia="Times New Roman" w:hAnsi="Times New Roman" w:cs="Times New Roman"/>
                <w:b/>
                <w:lang w:eastAsia="ar-SA"/>
              </w:rPr>
            </w:pPr>
            <w:r w:rsidRPr="00301EBA">
              <w:rPr>
                <w:rFonts w:ascii="Times New Roman" w:eastAsia="Times New Roman" w:hAnsi="Times New Roman" w:cs="Times New Roman"/>
                <w:b/>
                <w:lang w:eastAsia="ar-SA"/>
              </w:rPr>
              <w:t>Дата и время вскрытия конвертов (открытия доступа) к заявкам:</w:t>
            </w:r>
          </w:p>
          <w:p w:rsidR="00301EBA" w:rsidRPr="00301EBA" w:rsidRDefault="007E717A" w:rsidP="00301EBA">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«05</w:t>
            </w:r>
            <w:r w:rsidR="00301EBA" w:rsidRPr="00301EB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августа 2022г. 13</w:t>
            </w:r>
            <w:r w:rsidR="00301EBA" w:rsidRPr="00301EBA">
              <w:rPr>
                <w:rFonts w:ascii="Times New Roman" w:eastAsia="Times New Roman" w:hAnsi="Times New Roman" w:cs="Times New Roman"/>
                <w:b/>
                <w:lang w:eastAsia="ar-SA"/>
              </w:rPr>
              <w:t xml:space="preserve">:00 </w:t>
            </w:r>
          </w:p>
          <w:p w:rsidR="00301EBA" w:rsidRPr="00301EBA" w:rsidRDefault="00301EBA" w:rsidP="00301EBA">
            <w:pPr>
              <w:widowControl w:val="0"/>
              <w:autoSpaceDE w:val="0"/>
              <w:autoSpaceDN w:val="0"/>
              <w:adjustRightInd w:val="0"/>
              <w:spacing w:after="0"/>
              <w:jc w:val="both"/>
              <w:rPr>
                <w:rFonts w:ascii="Times New Roman" w:eastAsia="Times New Roman" w:hAnsi="Times New Roman" w:cs="Times New Roman"/>
                <w:color w:val="0000FF"/>
                <w:u w:val="single"/>
              </w:rPr>
            </w:pPr>
            <w:r w:rsidRPr="00301EBA">
              <w:rPr>
                <w:rFonts w:ascii="Times New Roman" w:eastAsia="Times New Roman" w:hAnsi="Times New Roman" w:cs="Times New Roman"/>
                <w:b/>
              </w:rPr>
              <w:t>Место и порядок подачи заявок:</w:t>
            </w:r>
            <w:r w:rsidRPr="00301EBA">
              <w:rPr>
                <w:rFonts w:ascii="Times New Roman" w:eastAsia="Times New Roman" w:hAnsi="Times New Roman" w:cs="Times New Roman"/>
              </w:rPr>
              <w:t xml:space="preserve"> заявки подаются в электронном виде на сайте ЭТП  </w:t>
            </w:r>
            <w:hyperlink r:id="rId15" w:history="1">
              <w:r w:rsidRPr="00301EBA">
                <w:rPr>
                  <w:rFonts w:ascii="Times New Roman" w:eastAsia="Times New Roman" w:hAnsi="Times New Roman" w:cs="Times New Roman"/>
                  <w:color w:val="0000FF"/>
                  <w:u w:val="single"/>
                </w:rPr>
                <w:t>https://etp.gpb.ru</w:t>
              </w:r>
            </w:hyperlink>
          </w:p>
          <w:p w:rsidR="005733F0" w:rsidRPr="002B560B" w:rsidRDefault="00301EBA" w:rsidP="00301EBA">
            <w:pPr>
              <w:widowControl w:val="0"/>
              <w:autoSpaceDE w:val="0"/>
              <w:autoSpaceDN w:val="0"/>
              <w:adjustRightInd w:val="0"/>
              <w:spacing w:after="0"/>
              <w:jc w:val="both"/>
              <w:rPr>
                <w:rFonts w:ascii="Times New Roman" w:eastAsia="Times New Roman" w:hAnsi="Times New Roman" w:cs="Times New Roman"/>
                <w:bCs/>
              </w:rPr>
            </w:pPr>
            <w:r w:rsidRPr="00301EBA">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2B560B"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7E717A">
              <w:rPr>
                <w:rFonts w:ascii="Times New Roman" w:hAnsi="Times New Roman" w:cs="Times New Roman"/>
                <w:b/>
              </w:rPr>
              <w:t>21</w:t>
            </w:r>
            <w:r w:rsidRPr="002B560B">
              <w:rPr>
                <w:rFonts w:ascii="Times New Roman" w:hAnsi="Times New Roman" w:cs="Times New Roman"/>
                <w:b/>
              </w:rPr>
              <w:t xml:space="preserve">» </w:t>
            </w:r>
            <w:r w:rsidR="007E717A">
              <w:rPr>
                <w:rFonts w:ascii="Times New Roman" w:hAnsi="Times New Roman" w:cs="Times New Roman"/>
                <w:b/>
              </w:rPr>
              <w:t>ию</w:t>
            </w:r>
            <w:r w:rsidR="00301EBA">
              <w:rPr>
                <w:rFonts w:ascii="Times New Roman" w:hAnsi="Times New Roman" w:cs="Times New Roman"/>
                <w:b/>
              </w:rPr>
              <w:t>ля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086946">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г.  по  «</w:t>
            </w:r>
            <w:r w:rsidR="007E717A">
              <w:rPr>
                <w:rFonts w:ascii="Times New Roman" w:hAnsi="Times New Roman" w:cs="Times New Roman"/>
                <w:b/>
              </w:rPr>
              <w:t>03</w:t>
            </w:r>
            <w:r w:rsidRPr="002B560B">
              <w:rPr>
                <w:rFonts w:ascii="Times New Roman" w:hAnsi="Times New Roman" w:cs="Times New Roman"/>
                <w:b/>
              </w:rPr>
              <w:t xml:space="preserve">» </w:t>
            </w:r>
            <w:r w:rsidR="007E717A">
              <w:rPr>
                <w:rFonts w:ascii="Times New Roman" w:hAnsi="Times New Roman" w:cs="Times New Roman"/>
                <w:b/>
              </w:rPr>
              <w:t>августа</w:t>
            </w:r>
            <w:r w:rsidR="00941342">
              <w:rPr>
                <w:rFonts w:ascii="Times New Roman" w:hAnsi="Times New Roman" w:cs="Times New Roman"/>
                <w:b/>
              </w:rPr>
              <w:t xml:space="preserve"> </w:t>
            </w:r>
            <w:r w:rsidRPr="002B560B">
              <w:rPr>
                <w:rFonts w:ascii="Times New Roman" w:hAnsi="Times New Roman" w:cs="Times New Roman"/>
                <w:b/>
              </w:rPr>
              <w:t>20</w:t>
            </w:r>
            <w:r w:rsidR="008A65FC">
              <w:rPr>
                <w:rFonts w:ascii="Times New Roman" w:hAnsi="Times New Roman" w:cs="Times New Roman"/>
                <w:b/>
              </w:rPr>
              <w:t>2</w:t>
            </w:r>
            <w:r w:rsidR="00301EB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7E717A">
              <w:rPr>
                <w:rFonts w:ascii="Times New Roman" w:hAnsi="Times New Roman" w:cs="Times New Roman"/>
                <w:b/>
              </w:rPr>
              <w:t>12</w:t>
            </w:r>
            <w:r w:rsidRPr="00DA6D34">
              <w:rPr>
                <w:rFonts w:ascii="Times New Roman" w:hAnsi="Times New Roman" w:cs="Times New Roman"/>
                <w:b/>
              </w:rPr>
              <w:t>»</w:t>
            </w:r>
            <w:r w:rsidR="00E922A4">
              <w:rPr>
                <w:rFonts w:ascii="Times New Roman" w:hAnsi="Times New Roman" w:cs="Times New Roman"/>
                <w:b/>
              </w:rPr>
              <w:t xml:space="preserve"> </w:t>
            </w:r>
            <w:r w:rsidR="007E717A">
              <w:rPr>
                <w:rFonts w:ascii="Times New Roman" w:hAnsi="Times New Roman" w:cs="Times New Roman"/>
                <w:b/>
              </w:rPr>
              <w:t>августа</w:t>
            </w:r>
            <w:r w:rsidRPr="00DA6D34">
              <w:rPr>
                <w:rFonts w:ascii="Times New Roman" w:hAnsi="Times New Roman" w:cs="Times New Roman"/>
                <w:b/>
              </w:rPr>
              <w:t xml:space="preserve"> 20</w:t>
            </w:r>
            <w:r w:rsidR="008A65FC">
              <w:rPr>
                <w:rFonts w:ascii="Times New Roman" w:hAnsi="Times New Roman" w:cs="Times New Roman"/>
                <w:b/>
              </w:rPr>
              <w:t>2</w:t>
            </w:r>
            <w:r w:rsidR="00301EBA">
              <w:rPr>
                <w:rFonts w:ascii="Times New Roman" w:hAnsi="Times New Roman" w:cs="Times New Roman"/>
                <w:b/>
              </w:rPr>
              <w:t>2</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0A5612" w:rsidRPr="002B560B" w:rsidRDefault="000A5612" w:rsidP="002B560B">
            <w:pPr>
              <w:pStyle w:val="af6"/>
              <w:spacing w:line="276" w:lineRule="auto"/>
              <w:jc w:val="both"/>
              <w:rPr>
                <w:b/>
                <w:sz w:val="22"/>
                <w:szCs w:val="22"/>
              </w:rPr>
            </w:pP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81D49" w:rsidRDefault="0065342F" w:rsidP="002B560B">
            <w:pPr>
              <w:widowControl w:val="0"/>
              <w:spacing w:after="0"/>
              <w:jc w:val="both"/>
              <w:rPr>
                <w:rFonts w:ascii="Times New Roman" w:eastAsia="Times New Roman" w:hAnsi="Times New Roman" w:cs="Times New Roman"/>
              </w:rPr>
            </w:pPr>
          </w:p>
          <w:p w:rsidR="000A5612" w:rsidRDefault="000A5612"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0A5612" w:rsidRDefault="000A5612" w:rsidP="002B560B">
            <w:pPr>
              <w:widowControl w:val="0"/>
              <w:spacing w:after="0"/>
              <w:jc w:val="both"/>
              <w:rPr>
                <w:rFonts w:ascii="Times New Roman" w:eastAsia="Times New Roman" w:hAnsi="Times New Roman" w:cs="Times New Roman"/>
                <w:b/>
              </w:rPr>
            </w:pPr>
          </w:p>
          <w:p w:rsidR="000A5612" w:rsidRDefault="000A5612"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134"/>
        <w:gridCol w:w="1417"/>
        <w:gridCol w:w="1560"/>
      </w:tblGrid>
      <w:tr w:rsidR="00191C3E" w:rsidRPr="002B560B" w:rsidTr="00271FED">
        <w:trPr>
          <w:trHeight w:val="323"/>
          <w:tblHeader/>
        </w:trPr>
        <w:tc>
          <w:tcPr>
            <w:tcW w:w="56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38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7C7117" w:rsidRPr="002B560B" w:rsidTr="00271FED">
        <w:trPr>
          <w:trHeight w:val="661"/>
        </w:trPr>
        <w:tc>
          <w:tcPr>
            <w:tcW w:w="567" w:type="dxa"/>
            <w:vMerge w:val="restart"/>
            <w:vAlign w:val="center"/>
          </w:tcPr>
          <w:p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5387" w:type="dxa"/>
            <w:vAlign w:val="center"/>
          </w:tcPr>
          <w:p w:rsidR="00D92A26" w:rsidRPr="00B2777A" w:rsidRDefault="00D92A26" w:rsidP="00D92A26">
            <w:pPr>
              <w:spacing w:after="0"/>
              <w:rPr>
                <w:rFonts w:ascii="Times New Roman" w:eastAsiaTheme="minorHAnsi" w:hAnsi="Times New Roman" w:cs="Times New Roman"/>
                <w:lang w:eastAsia="en-US"/>
              </w:rPr>
            </w:pPr>
            <w:r w:rsidRPr="00B2777A">
              <w:rPr>
                <w:rFonts w:ascii="Times New Roman" w:eastAsiaTheme="minorHAnsi" w:hAnsi="Times New Roman" w:cs="Times New Roman"/>
                <w:lang w:eastAsia="en-US"/>
              </w:rPr>
              <w:t xml:space="preserve">Стоимость 1 рекламного </w:t>
            </w:r>
            <w:r>
              <w:rPr>
                <w:rFonts w:ascii="Times New Roman" w:eastAsiaTheme="minorHAnsi" w:hAnsi="Times New Roman" w:cs="Times New Roman"/>
                <w:lang w:eastAsia="en-US"/>
              </w:rPr>
              <w:t>жилета при тираже 500 шт.</w:t>
            </w:r>
          </w:p>
          <w:p w:rsidR="007C7117" w:rsidRPr="007C7117" w:rsidRDefault="00D92A26" w:rsidP="00D92A26">
            <w:pPr>
              <w:spacing w:after="0"/>
              <w:rPr>
                <w:rFonts w:ascii="Times New Roman" w:eastAsiaTheme="minorHAnsi" w:hAnsi="Times New Roman" w:cs="Times New Roman"/>
                <w:b/>
                <w:lang w:eastAsia="en-US"/>
              </w:rPr>
            </w:pP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134" w:type="dxa"/>
            <w:vMerge w:val="restart"/>
            <w:vAlign w:val="center"/>
          </w:tcPr>
          <w:p w:rsidR="007C7117"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7" w:type="dxa"/>
            <w:vAlign w:val="center"/>
          </w:tcPr>
          <w:p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7C7117" w:rsidRPr="002B560B" w:rsidRDefault="007C7117" w:rsidP="00765D7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C7117" w:rsidRPr="002B560B" w:rsidTr="00271FED">
        <w:trPr>
          <w:trHeight w:val="661"/>
        </w:trPr>
        <w:tc>
          <w:tcPr>
            <w:tcW w:w="567" w:type="dxa"/>
            <w:vMerge/>
            <w:vAlign w:val="center"/>
          </w:tcPr>
          <w:p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rsidR="007C7117" w:rsidRPr="00B2777A" w:rsidRDefault="00D92A26" w:rsidP="00D92A26">
            <w:pPr>
              <w:spacing w:after="0"/>
              <w:rPr>
                <w:rFonts w:ascii="Times New Roman" w:eastAsiaTheme="minorHAnsi" w:hAnsi="Times New Roman" w:cs="Times New Roman"/>
                <w:lang w:eastAsia="en-US"/>
              </w:rPr>
            </w:pPr>
            <w:r w:rsidRPr="007C7117">
              <w:rPr>
                <w:rFonts w:ascii="Times New Roman" w:eastAsiaTheme="minorHAnsi" w:hAnsi="Times New Roman" w:cs="Times New Roman"/>
                <w:b/>
                <w:lang w:eastAsia="en-US"/>
              </w:rPr>
              <w:t>Общая стоимость договора с учетом до</w:t>
            </w:r>
            <w:r>
              <w:rPr>
                <w:rFonts w:ascii="Times New Roman" w:eastAsiaTheme="minorHAnsi" w:hAnsi="Times New Roman" w:cs="Times New Roman"/>
                <w:b/>
                <w:lang w:eastAsia="en-US"/>
              </w:rPr>
              <w:t>ставки без учета / с учетом НДС</w:t>
            </w:r>
            <w:r w:rsidRPr="007C7117">
              <w:rPr>
                <w:rFonts w:ascii="Times New Roman" w:eastAsiaTheme="minorHAnsi" w:hAnsi="Times New Roman" w:cs="Times New Roman"/>
                <w:lang w:eastAsia="en-US"/>
              </w:rPr>
              <w:t>:</w:t>
            </w:r>
          </w:p>
        </w:tc>
        <w:tc>
          <w:tcPr>
            <w:tcW w:w="1134" w:type="dxa"/>
            <w:vMerge/>
            <w:vAlign w:val="center"/>
          </w:tcPr>
          <w:p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7C7117" w:rsidRPr="002B560B" w:rsidRDefault="007C7117"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7C7117" w:rsidRPr="002B560B" w:rsidRDefault="007C7117" w:rsidP="00765D7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D92A26" w:rsidRPr="002B560B" w:rsidTr="00271FED">
        <w:trPr>
          <w:trHeight w:val="557"/>
        </w:trPr>
        <w:tc>
          <w:tcPr>
            <w:tcW w:w="567" w:type="dxa"/>
            <w:vMerge/>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rsidR="00D92A26" w:rsidRPr="00B2777A" w:rsidRDefault="00D92A26" w:rsidP="00D92A26">
            <w:pPr>
              <w:spacing w:after="0"/>
              <w:rPr>
                <w:rFonts w:ascii="Times New Roman" w:eastAsiaTheme="minorHAnsi" w:hAnsi="Times New Roman" w:cs="Times New Roman"/>
                <w:lang w:eastAsia="en-US"/>
              </w:rPr>
            </w:pPr>
            <w:r w:rsidRPr="00B2777A">
              <w:rPr>
                <w:rFonts w:ascii="Times New Roman" w:eastAsiaTheme="minorHAnsi" w:hAnsi="Times New Roman" w:cs="Times New Roman"/>
                <w:lang w:eastAsia="en-US"/>
              </w:rPr>
              <w:t xml:space="preserve">Стоимость 1 рекламного </w:t>
            </w:r>
            <w:r>
              <w:rPr>
                <w:rFonts w:ascii="Times New Roman" w:eastAsiaTheme="minorHAnsi" w:hAnsi="Times New Roman" w:cs="Times New Roman"/>
                <w:lang w:eastAsia="en-US"/>
              </w:rPr>
              <w:t>жилета при тираже 1000 шт.</w:t>
            </w:r>
          </w:p>
          <w:p w:rsidR="00D92A26" w:rsidRPr="007C7117" w:rsidRDefault="00D92A26" w:rsidP="00D92A26">
            <w:pPr>
              <w:spacing w:after="0"/>
              <w:rPr>
                <w:rFonts w:ascii="Times New Roman" w:eastAsiaTheme="minorHAnsi" w:hAnsi="Times New Roman" w:cs="Times New Roman"/>
                <w:b/>
                <w:lang w:eastAsia="en-US"/>
              </w:rPr>
            </w:pP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p>
        </w:tc>
        <w:tc>
          <w:tcPr>
            <w:tcW w:w="1134" w:type="dxa"/>
            <w:vMerge/>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D92A26" w:rsidRPr="002B560B" w:rsidRDefault="00D92A26" w:rsidP="00D92A2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D92A26" w:rsidRPr="002B560B" w:rsidTr="00271FED">
        <w:trPr>
          <w:trHeight w:val="588"/>
        </w:trPr>
        <w:tc>
          <w:tcPr>
            <w:tcW w:w="567" w:type="dxa"/>
            <w:vMerge/>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rsidR="00D92A26" w:rsidRPr="00B2777A" w:rsidRDefault="00D92A26" w:rsidP="00D92A26">
            <w:pPr>
              <w:spacing w:after="0"/>
              <w:rPr>
                <w:rFonts w:ascii="Times New Roman" w:eastAsiaTheme="minorHAnsi" w:hAnsi="Times New Roman" w:cs="Times New Roman"/>
                <w:lang w:eastAsia="en-US"/>
              </w:rPr>
            </w:pPr>
            <w:r w:rsidRPr="007C7117">
              <w:rPr>
                <w:rFonts w:ascii="Times New Roman" w:eastAsiaTheme="minorHAnsi" w:hAnsi="Times New Roman" w:cs="Times New Roman"/>
                <w:b/>
                <w:lang w:eastAsia="en-US"/>
              </w:rPr>
              <w:t>Общая стоимость договора с учетом до</w:t>
            </w:r>
            <w:r>
              <w:rPr>
                <w:rFonts w:ascii="Times New Roman" w:eastAsiaTheme="minorHAnsi" w:hAnsi="Times New Roman" w:cs="Times New Roman"/>
                <w:b/>
                <w:lang w:eastAsia="en-US"/>
              </w:rPr>
              <w:t>ставки без учета / с учетом НДС</w:t>
            </w:r>
            <w:r w:rsidRPr="007C7117">
              <w:rPr>
                <w:rFonts w:ascii="Times New Roman" w:eastAsiaTheme="minorHAnsi" w:hAnsi="Times New Roman" w:cs="Times New Roman"/>
                <w:lang w:eastAsia="en-US"/>
              </w:rPr>
              <w:t>:</w:t>
            </w:r>
          </w:p>
        </w:tc>
        <w:tc>
          <w:tcPr>
            <w:tcW w:w="1134" w:type="dxa"/>
            <w:vMerge/>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D92A26" w:rsidRPr="002B560B" w:rsidRDefault="00D92A26" w:rsidP="00D92A2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D92A26" w:rsidRPr="002B560B" w:rsidRDefault="00D92A26" w:rsidP="00D92A2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191C3E" w:rsidRPr="002B560B" w:rsidTr="00271FED">
        <w:trPr>
          <w:trHeight w:val="527"/>
        </w:trPr>
        <w:tc>
          <w:tcPr>
            <w:tcW w:w="567"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5387" w:type="dxa"/>
            <w:vAlign w:val="center"/>
          </w:tcPr>
          <w:p w:rsidR="00191C3E" w:rsidRPr="002B560B" w:rsidRDefault="00191C3E" w:rsidP="000A5612">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D92A26" w:rsidRPr="002B560B" w:rsidTr="00271FED">
        <w:trPr>
          <w:trHeight w:val="527"/>
        </w:trPr>
        <w:tc>
          <w:tcPr>
            <w:tcW w:w="567" w:type="dxa"/>
            <w:vAlign w:val="center"/>
          </w:tcPr>
          <w:p w:rsidR="00D92A26"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387" w:type="dxa"/>
            <w:vAlign w:val="center"/>
          </w:tcPr>
          <w:p w:rsidR="00D92A26" w:rsidRPr="002B560B" w:rsidRDefault="00D92A26" w:rsidP="000A5612">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134" w:type="dxa"/>
            <w:vAlign w:val="center"/>
          </w:tcPr>
          <w:p w:rsidR="00D92A26"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rsidR="00D92A26" w:rsidRPr="002B560B" w:rsidRDefault="00D92A2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D92A26" w:rsidRDefault="00D92A26"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191C3E" w:rsidRPr="002B560B" w:rsidTr="00271FED">
        <w:trPr>
          <w:trHeight w:val="692"/>
        </w:trPr>
        <w:tc>
          <w:tcPr>
            <w:tcW w:w="567" w:type="dxa"/>
            <w:vAlign w:val="center"/>
          </w:tcPr>
          <w:p w:rsidR="00191C3E" w:rsidRPr="002B560B" w:rsidRDefault="00271FED"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191C3E" w:rsidRPr="002B560B">
              <w:rPr>
                <w:rFonts w:ascii="Times New Roman" w:eastAsiaTheme="minorHAnsi" w:hAnsi="Times New Roman" w:cs="Times New Roman"/>
                <w:lang w:eastAsia="en-US"/>
              </w:rPr>
              <w:t>.</w:t>
            </w:r>
          </w:p>
        </w:tc>
        <w:tc>
          <w:tcPr>
            <w:tcW w:w="5387" w:type="dxa"/>
            <w:shd w:val="clear" w:color="auto" w:fill="auto"/>
            <w:vAlign w:val="center"/>
          </w:tcPr>
          <w:p w:rsidR="00191C3E" w:rsidRPr="002B560B" w:rsidRDefault="00191C3E" w:rsidP="00D92A2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191C3E" w:rsidRPr="002B560B" w:rsidRDefault="00271FED" w:rsidP="00271FE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w:t>
            </w:r>
            <w:r w:rsidR="00191C3E">
              <w:rPr>
                <w:rFonts w:ascii="Times New Roman" w:eastAsiaTheme="minorHAnsi" w:hAnsi="Times New Roman" w:cs="Times New Roman"/>
                <w:lang w:eastAsia="en-US"/>
              </w:rPr>
              <w:t>дни</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lastRenderedPageBreak/>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7C7117" w:rsidRDefault="007C7117"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420" w:type="dxa"/>
            <w:vAlign w:val="center"/>
          </w:tcPr>
          <w:p w:rsidR="00461AEB" w:rsidRPr="007C7117" w:rsidRDefault="00271FED" w:rsidP="007C7117">
            <w:pPr>
              <w:widowControl w:val="0"/>
              <w:spacing w:after="0"/>
              <w:rPr>
                <w:rFonts w:ascii="Times New Roman" w:eastAsia="Calibri" w:hAnsi="Times New Roman" w:cs="Times New Roman"/>
                <w:lang w:eastAsia="en-US"/>
              </w:rPr>
            </w:pPr>
            <w:r>
              <w:rPr>
                <w:rFonts w:ascii="Times New Roman" w:hAnsi="Times New Roman" w:cs="Times New Roman"/>
              </w:rPr>
              <w:t>Рекламный жилет утепленный черный</w:t>
            </w: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7C7117">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bookmarkStart w:id="125" w:name="_GoBack"/>
            <w:bookmarkEnd w:id="125"/>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72" w:rsidRDefault="00997A72" w:rsidP="00B4269E">
      <w:pPr>
        <w:spacing w:after="0" w:line="240" w:lineRule="auto"/>
      </w:pPr>
      <w:r>
        <w:separator/>
      </w:r>
    </w:p>
  </w:endnote>
  <w:endnote w:type="continuationSeparator" w:id="0">
    <w:p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71FED">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72" w:rsidRDefault="00997A72" w:rsidP="00B4269E">
      <w:pPr>
        <w:spacing w:after="0" w:line="240" w:lineRule="auto"/>
      </w:pPr>
      <w:r>
        <w:separator/>
      </w:r>
    </w:p>
  </w:footnote>
  <w:footnote w:type="continuationSeparator" w:id="0">
    <w:p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3F29-2DCF-496E-9502-CFC8E695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opaev@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volma.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10" Type="http://schemas.openxmlformats.org/officeDocument/2006/relationships/hyperlink" Target="mailto:tender@vol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549E-56E0-49D4-80B5-40711D51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17</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141</cp:revision>
  <cp:lastPrinted>2015-09-14T13:35:00Z</cp:lastPrinted>
  <dcterms:created xsi:type="dcterms:W3CDTF">2015-12-04T07:27:00Z</dcterms:created>
  <dcterms:modified xsi:type="dcterms:W3CDTF">2022-07-20T17:18:00Z</dcterms:modified>
</cp:coreProperties>
</file>